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49A95" w14:textId="4C28C6C4" w:rsidR="00397389" w:rsidRDefault="00397389" w:rsidP="00397389">
      <w:pPr>
        <w:pStyle w:val="CRCoverPage"/>
        <w:tabs>
          <w:tab w:val="right" w:pos="9639"/>
        </w:tabs>
        <w:spacing w:after="0"/>
        <w:rPr>
          <w:b/>
          <w:i/>
          <w:noProof/>
          <w:sz w:val="28"/>
        </w:rPr>
      </w:pPr>
      <w:bookmarkStart w:id="0" w:name="_Hlk528502858"/>
      <w:r>
        <w:rPr>
          <w:b/>
          <w:noProof/>
          <w:sz w:val="24"/>
        </w:rPr>
        <w:t>3GPP TSG-RAN WG4 Meeting #9</w:t>
      </w:r>
      <w:r w:rsidR="00B4165B">
        <w:rPr>
          <w:b/>
          <w:noProof/>
          <w:sz w:val="24"/>
        </w:rPr>
        <w:t>4-e</w:t>
      </w:r>
      <w:r>
        <w:rPr>
          <w:b/>
          <w:i/>
          <w:noProof/>
          <w:sz w:val="28"/>
        </w:rPr>
        <w:tab/>
        <w:t>R4-</w:t>
      </w:r>
      <w:r w:rsidR="00E97C65" w:rsidRPr="00E97C65">
        <w:rPr>
          <w:b/>
          <w:i/>
          <w:noProof/>
          <w:sz w:val="28"/>
        </w:rPr>
        <w:t>2001686</w:t>
      </w:r>
    </w:p>
    <w:p w14:paraId="513B1481" w14:textId="380CC976" w:rsidR="00397389" w:rsidRDefault="00B4165B" w:rsidP="00397389">
      <w:pPr>
        <w:pStyle w:val="CRCoverPage"/>
        <w:outlineLvl w:val="0"/>
        <w:rPr>
          <w:b/>
          <w:noProof/>
          <w:sz w:val="24"/>
        </w:rPr>
      </w:pPr>
      <w:r w:rsidRPr="00B4165B">
        <w:rPr>
          <w:b/>
          <w:noProof/>
          <w:sz w:val="24"/>
        </w:rPr>
        <w:t>Electronic Meeting, February 24</w:t>
      </w:r>
      <w:r>
        <w:rPr>
          <w:b/>
          <w:noProof/>
          <w:sz w:val="24"/>
        </w:rPr>
        <w:t xml:space="preserve"> – </w:t>
      </w:r>
      <w:r w:rsidRPr="00B4165B">
        <w:rPr>
          <w:b/>
          <w:noProof/>
          <w:sz w:val="24"/>
        </w:rPr>
        <w:t>March</w:t>
      </w:r>
      <w:r>
        <w:rPr>
          <w:b/>
          <w:noProof/>
          <w:sz w:val="24"/>
        </w:rPr>
        <w:t xml:space="preserve"> </w:t>
      </w:r>
      <w:r w:rsidRPr="00B4165B">
        <w:rPr>
          <w:b/>
          <w:noProof/>
          <w:sz w:val="24"/>
        </w:rPr>
        <w:t>6, 2020</w:t>
      </w:r>
    </w:p>
    <w:bookmarkEnd w:id="0"/>
    <w:p w14:paraId="43B8EC8A"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1EC45EDB"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191A32">
        <w:rPr>
          <w:rFonts w:ascii="Arial" w:hAnsi="Arial" w:cs="Arial"/>
          <w:lang w:val="en-US"/>
        </w:rPr>
        <w:t xml:space="preserve">EESS protection for NR </w:t>
      </w:r>
      <w:r w:rsidR="0037577B">
        <w:rPr>
          <w:rFonts w:ascii="Arial" w:hAnsi="Arial" w:cs="Arial"/>
          <w:lang w:val="en-US"/>
        </w:rPr>
        <w:t xml:space="preserve">BS </w:t>
      </w:r>
      <w:r w:rsidR="00191A32">
        <w:rPr>
          <w:rFonts w:ascii="Arial" w:hAnsi="Arial" w:cs="Arial"/>
          <w:lang w:val="en-US"/>
        </w:rPr>
        <w:t>operation in Band n257 and n258</w:t>
      </w:r>
    </w:p>
    <w:p w14:paraId="16D01D72" w14:textId="764DC84E"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F5035D">
        <w:rPr>
          <w:rFonts w:ascii="Arial" w:hAnsi="Arial" w:cs="Arial"/>
          <w:lang w:val="en-US"/>
        </w:rPr>
        <w:t>6.7.</w:t>
      </w:r>
      <w:r w:rsidR="005A5406">
        <w:rPr>
          <w:rFonts w:ascii="Arial" w:hAnsi="Arial" w:cs="Arial"/>
          <w:lang w:val="en-US"/>
        </w:rPr>
        <w:t>2</w:t>
      </w:r>
    </w:p>
    <w:p w14:paraId="49066BBD" w14:textId="66F6F873"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Approval</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Default="00D2274A" w:rsidP="00D466E4">
      <w:pPr>
        <w:pStyle w:val="Heading1"/>
        <w:rPr>
          <w:lang w:val="en-US"/>
        </w:rPr>
      </w:pPr>
      <w:r>
        <w:rPr>
          <w:lang w:val="en-US"/>
        </w:rPr>
        <w:t>Background</w:t>
      </w:r>
      <w:r w:rsidR="00D466E4" w:rsidRPr="009177A5">
        <w:rPr>
          <w:lang w:val="en-US"/>
        </w:rPr>
        <w:t xml:space="preserve"> </w:t>
      </w:r>
    </w:p>
    <w:p w14:paraId="28563146" w14:textId="291AE4BC" w:rsidR="00367962" w:rsidRDefault="00687455" w:rsidP="008926FA">
      <w:pPr>
        <w:pStyle w:val="BodyText"/>
        <w:rPr>
          <w:lang w:val="en-US"/>
        </w:rPr>
      </w:pPr>
      <w:r>
        <w:rPr>
          <w:lang w:val="en-US"/>
        </w:rPr>
        <w:t xml:space="preserve">At </w:t>
      </w:r>
      <w:r w:rsidR="00367962">
        <w:rPr>
          <w:lang w:val="en-US"/>
        </w:rPr>
        <w:t>WRC-19 in Sharm el-Sheikh</w:t>
      </w:r>
      <w:r>
        <w:rPr>
          <w:lang w:val="en-US"/>
        </w:rPr>
        <w:t>, a n</w:t>
      </w:r>
      <w:r w:rsidR="00367962">
        <w:rPr>
          <w:lang w:val="en-US"/>
        </w:rPr>
        <w:t xml:space="preserve">ew allocation </w:t>
      </w:r>
      <w:r w:rsidR="007208A0">
        <w:rPr>
          <w:lang w:val="en-US"/>
        </w:rPr>
        <w:t>was</w:t>
      </w:r>
      <w:r w:rsidR="008926FA">
        <w:rPr>
          <w:lang w:val="en-US"/>
        </w:rPr>
        <w:t xml:space="preserve"> identified </w:t>
      </w:r>
      <w:r w:rsidR="00367962">
        <w:rPr>
          <w:lang w:val="en-US"/>
        </w:rPr>
        <w:t xml:space="preserve">for </w:t>
      </w:r>
      <w:r w:rsidR="008926FA">
        <w:rPr>
          <w:lang w:val="en-US"/>
        </w:rPr>
        <w:t xml:space="preserve">terrestrial </w:t>
      </w:r>
      <w:r w:rsidR="00367962">
        <w:rPr>
          <w:lang w:val="en-US"/>
        </w:rPr>
        <w:t xml:space="preserve">IMT in </w:t>
      </w:r>
      <w:r>
        <w:rPr>
          <w:lang w:val="en-US"/>
        </w:rPr>
        <w:t xml:space="preserve">the band </w:t>
      </w:r>
      <w:r w:rsidR="00367962">
        <w:rPr>
          <w:lang w:val="en-US"/>
        </w:rPr>
        <w:t>24.25 to 27.5 GHz. The new IMT allocation concerns 3GPP bands n257 and n2</w:t>
      </w:r>
      <w:r w:rsidR="008926FA">
        <w:rPr>
          <w:lang w:val="en-US"/>
        </w:rPr>
        <w:t>5</w:t>
      </w:r>
      <w:r w:rsidR="00367962">
        <w:rPr>
          <w:lang w:val="en-US"/>
        </w:rPr>
        <w:t>8 for NR.</w:t>
      </w:r>
      <w:r w:rsidR="008926FA">
        <w:rPr>
          <w:lang w:val="en-US"/>
        </w:rPr>
        <w:t xml:space="preserve"> In addition</w:t>
      </w:r>
      <w:r>
        <w:rPr>
          <w:lang w:val="en-US"/>
        </w:rPr>
        <w:t xml:space="preserve">, WRC-19 </w:t>
      </w:r>
      <w:r w:rsidR="008926FA" w:rsidRPr="008926FA">
        <w:rPr>
          <w:lang w:val="en-US"/>
        </w:rPr>
        <w:t>establishe</w:t>
      </w:r>
      <w:r>
        <w:rPr>
          <w:lang w:val="en-US"/>
        </w:rPr>
        <w:t>d unwanted emission limits for protection of EESS in the band 23.6 to 24 GHz</w:t>
      </w:r>
      <w:r w:rsidR="008926FA">
        <w:rPr>
          <w:lang w:val="en-US"/>
        </w:rPr>
        <w:t>.</w:t>
      </w:r>
    </w:p>
    <w:p w14:paraId="072835EF" w14:textId="553A1832" w:rsidR="008926FA" w:rsidRDefault="008926FA" w:rsidP="008926FA">
      <w:pPr>
        <w:pStyle w:val="BodyText"/>
        <w:rPr>
          <w:lang w:val="en-US"/>
        </w:rPr>
      </w:pPr>
      <w:r>
        <w:rPr>
          <w:lang w:val="en-US"/>
        </w:rPr>
        <w:t>This contribution discuss</w:t>
      </w:r>
      <w:r w:rsidR="00143206">
        <w:rPr>
          <w:lang w:val="en-US"/>
        </w:rPr>
        <w:t>es</w:t>
      </w:r>
      <w:r>
        <w:rPr>
          <w:lang w:val="en-US"/>
        </w:rPr>
        <w:t xml:space="preserve"> the new </w:t>
      </w:r>
      <w:r w:rsidRPr="008926FA">
        <w:rPr>
          <w:lang w:val="en-US"/>
        </w:rPr>
        <w:t>limits on unwanted emissions</w:t>
      </w:r>
      <w:r>
        <w:rPr>
          <w:lang w:val="en-US"/>
        </w:rPr>
        <w:t xml:space="preserve"> and propose</w:t>
      </w:r>
      <w:r w:rsidR="00143206">
        <w:rPr>
          <w:lang w:val="en-US"/>
        </w:rPr>
        <w:t>s</w:t>
      </w:r>
      <w:r>
        <w:rPr>
          <w:lang w:val="en-US"/>
        </w:rPr>
        <w:t xml:space="preserve"> how they can be implemented for NR BS.</w:t>
      </w:r>
      <w:r w:rsidR="006312BD">
        <w:rPr>
          <w:lang w:val="en-US"/>
        </w:rPr>
        <w:t xml:space="preserve"> Related proposals for NR UE limits are given in [2] and [3].</w:t>
      </w:r>
    </w:p>
    <w:p w14:paraId="664431C2" w14:textId="2FDA643A" w:rsidR="00F5035D" w:rsidRDefault="00F5035D" w:rsidP="00B445A4">
      <w:pPr>
        <w:pStyle w:val="Heading1"/>
        <w:rPr>
          <w:lang w:val="en-US"/>
        </w:rPr>
      </w:pPr>
      <w:r>
        <w:rPr>
          <w:lang w:val="en-US"/>
        </w:rPr>
        <w:t>WRC</w:t>
      </w:r>
      <w:r w:rsidR="00367962">
        <w:rPr>
          <w:lang w:val="en-US"/>
        </w:rPr>
        <w:t>-19</w:t>
      </w:r>
      <w:r>
        <w:rPr>
          <w:lang w:val="en-US"/>
        </w:rPr>
        <w:t xml:space="preserve"> agreement</w:t>
      </w:r>
      <w:r w:rsidR="00367962">
        <w:rPr>
          <w:lang w:val="en-US"/>
        </w:rPr>
        <w:t xml:space="preserve"> on EESS protection limits</w:t>
      </w:r>
    </w:p>
    <w:p w14:paraId="6843E234" w14:textId="00FA25BF" w:rsidR="003A3475" w:rsidRDefault="00687455" w:rsidP="003A3475">
      <w:pPr>
        <w:pStyle w:val="BodyText"/>
        <w:rPr>
          <w:lang w:val="en-US"/>
        </w:rPr>
      </w:pPr>
      <w:r>
        <w:rPr>
          <w:lang w:val="en-US"/>
        </w:rPr>
        <w:t xml:space="preserve">One of the outcomes of WRC-19 </w:t>
      </w:r>
      <w:r w:rsidR="00143206">
        <w:rPr>
          <w:lang w:val="en-US"/>
        </w:rPr>
        <w:t>is</w:t>
      </w:r>
      <w:r>
        <w:rPr>
          <w:lang w:val="en-US"/>
        </w:rPr>
        <w:t xml:space="preserve"> an identification of a primary allocation for IMT in the band 24.75 GHz to 27.5 GHz applicable to all regions, as outlined in Resolution COM4/8 (WRC-19) of the Provisional Final acts [1]. The resolution also recognizes</w:t>
      </w:r>
      <w:r w:rsidRPr="008926FA">
        <w:rPr>
          <w:lang w:val="en-US"/>
        </w:rPr>
        <w:t xml:space="preserve"> Resolution 750 (Rev.WRC-19)</w:t>
      </w:r>
      <w:r>
        <w:rPr>
          <w:lang w:val="en-US"/>
        </w:rPr>
        <w:t xml:space="preserve"> of the Provisional Final acts [1] that defines </w:t>
      </w:r>
      <w:r w:rsidRPr="008926FA">
        <w:rPr>
          <w:lang w:val="en-US"/>
        </w:rPr>
        <w:t>limits on unwanted emissions in the</w:t>
      </w:r>
      <w:r>
        <w:rPr>
          <w:lang w:val="en-US"/>
        </w:rPr>
        <w:t xml:space="preserve"> </w:t>
      </w:r>
      <w:r w:rsidRPr="008926FA">
        <w:rPr>
          <w:lang w:val="en-US"/>
        </w:rPr>
        <w:t>frequency band 23.6</w:t>
      </w:r>
      <w:r>
        <w:rPr>
          <w:lang w:val="en-US"/>
        </w:rPr>
        <w:t xml:space="preserve"> to </w:t>
      </w:r>
      <w:r w:rsidRPr="008926FA">
        <w:rPr>
          <w:lang w:val="en-US"/>
        </w:rPr>
        <w:t xml:space="preserve">24 GHz from IMT base stations and IMT mobile stations </w:t>
      </w:r>
      <w:r w:rsidR="00143206">
        <w:rPr>
          <w:lang w:val="en-US"/>
        </w:rPr>
        <w:t xml:space="preserve">operating </w:t>
      </w:r>
      <w:r w:rsidRPr="008926FA">
        <w:rPr>
          <w:lang w:val="en-US"/>
        </w:rPr>
        <w:t>within the 24.25</w:t>
      </w:r>
      <w:r>
        <w:rPr>
          <w:lang w:val="en-US"/>
        </w:rPr>
        <w:t xml:space="preserve"> to </w:t>
      </w:r>
      <w:r w:rsidRPr="008926FA">
        <w:rPr>
          <w:lang w:val="en-US"/>
        </w:rPr>
        <w:t>27.5 GHz frequency band</w:t>
      </w:r>
      <w:r>
        <w:rPr>
          <w:lang w:val="en-US"/>
        </w:rPr>
        <w:t>.</w:t>
      </w:r>
      <w:r w:rsidR="00F76C27">
        <w:rPr>
          <w:lang w:val="en-US"/>
        </w:rPr>
        <w:t xml:space="preserve"> The limits are summarized in </w:t>
      </w:r>
      <w:r w:rsidR="00F76C27">
        <w:rPr>
          <w:lang w:val="en-US"/>
        </w:rPr>
        <w:fldChar w:fldCharType="begin"/>
      </w:r>
      <w:r w:rsidR="00F76C27">
        <w:rPr>
          <w:lang w:val="en-US"/>
        </w:rPr>
        <w:instrText xml:space="preserve"> REF _Ref32577005 \h </w:instrText>
      </w:r>
      <w:r w:rsidR="00F76C27">
        <w:rPr>
          <w:lang w:val="en-US"/>
        </w:rPr>
      </w:r>
      <w:r w:rsidR="00F76C27">
        <w:rPr>
          <w:lang w:val="en-US"/>
        </w:rPr>
        <w:fldChar w:fldCharType="separate"/>
      </w:r>
      <w:r w:rsidR="00F76C27">
        <w:t xml:space="preserve">Table </w:t>
      </w:r>
      <w:r w:rsidR="00F76C27">
        <w:rPr>
          <w:noProof/>
        </w:rPr>
        <w:t>1</w:t>
      </w:r>
      <w:r w:rsidR="00F76C27">
        <w:rPr>
          <w:lang w:val="en-US"/>
        </w:rPr>
        <w:fldChar w:fldCharType="end"/>
      </w:r>
      <w:r w:rsidR="00F76C27">
        <w:rPr>
          <w:lang w:val="en-US"/>
        </w:rPr>
        <w:t>, together with the table notes relevant for the case.</w:t>
      </w:r>
    </w:p>
    <w:p w14:paraId="76D38790" w14:textId="4035A5F4" w:rsidR="00D5222E" w:rsidRDefault="00D5222E" w:rsidP="00D5222E">
      <w:pPr>
        <w:pStyle w:val="Caption"/>
        <w:keepNext/>
        <w:spacing w:after="120"/>
        <w:jc w:val="center"/>
      </w:pPr>
      <w:bookmarkStart w:id="1" w:name="_Ref32577005"/>
      <w:r>
        <w:t xml:space="preserve">Table </w:t>
      </w:r>
      <w:r>
        <w:fldChar w:fldCharType="begin"/>
      </w:r>
      <w:r>
        <w:instrText xml:space="preserve"> SEQ Table \* ARABIC </w:instrText>
      </w:r>
      <w:r>
        <w:fldChar w:fldCharType="separate"/>
      </w:r>
      <w:r w:rsidR="000B008F">
        <w:rPr>
          <w:noProof/>
        </w:rPr>
        <w:t>1</w:t>
      </w:r>
      <w:r>
        <w:fldChar w:fldCharType="end"/>
      </w:r>
      <w:bookmarkEnd w:id="1"/>
      <w:r>
        <w:t>: Excerpt from Table 1-1 in Resolution 750 [1].</w:t>
      </w:r>
    </w:p>
    <w:tbl>
      <w:tblPr>
        <w:tblStyle w:val="TableGrid"/>
        <w:tblW w:w="0" w:type="auto"/>
        <w:tblLook w:val="04A0" w:firstRow="1" w:lastRow="0" w:firstColumn="1" w:lastColumn="0" w:noHBand="0" w:noVBand="1"/>
      </w:tblPr>
      <w:tblGrid>
        <w:gridCol w:w="1526"/>
        <w:gridCol w:w="1843"/>
        <w:gridCol w:w="1559"/>
        <w:gridCol w:w="4819"/>
      </w:tblGrid>
      <w:tr w:rsidR="003A3475" w14:paraId="0F7D4C1B" w14:textId="77777777" w:rsidTr="003A3475">
        <w:tc>
          <w:tcPr>
            <w:tcW w:w="1526" w:type="dxa"/>
            <w:vAlign w:val="center"/>
          </w:tcPr>
          <w:p w14:paraId="3E34EE75" w14:textId="21344C51" w:rsidR="003A3475" w:rsidRPr="003A3475" w:rsidRDefault="003A3475" w:rsidP="003A3475">
            <w:pPr>
              <w:pStyle w:val="BodyText"/>
              <w:jc w:val="center"/>
              <w:rPr>
                <w:b/>
                <w:bCs/>
                <w:lang w:val="en-US"/>
              </w:rPr>
            </w:pPr>
            <w:r w:rsidRPr="003A3475">
              <w:rPr>
                <w:b/>
                <w:bCs/>
                <w:lang w:val="en-US"/>
              </w:rPr>
              <w:t>EESS (passive)</w:t>
            </w:r>
            <w:r w:rsidRPr="003A3475">
              <w:rPr>
                <w:b/>
                <w:bCs/>
                <w:lang w:val="en-US"/>
              </w:rPr>
              <w:br/>
              <w:t>band</w:t>
            </w:r>
          </w:p>
        </w:tc>
        <w:tc>
          <w:tcPr>
            <w:tcW w:w="1843" w:type="dxa"/>
            <w:vAlign w:val="center"/>
          </w:tcPr>
          <w:p w14:paraId="0FACE0BD" w14:textId="1F43DA96" w:rsidR="003A3475" w:rsidRPr="003A3475" w:rsidRDefault="003A3475" w:rsidP="003A3475">
            <w:pPr>
              <w:pStyle w:val="BodyText"/>
              <w:jc w:val="center"/>
              <w:rPr>
                <w:b/>
                <w:bCs/>
                <w:lang w:val="en-US"/>
              </w:rPr>
            </w:pPr>
            <w:r w:rsidRPr="003A3475">
              <w:rPr>
                <w:b/>
                <w:bCs/>
                <w:lang w:val="en-US"/>
              </w:rPr>
              <w:t>Active</w:t>
            </w:r>
            <w:r w:rsidRPr="003A3475">
              <w:rPr>
                <w:b/>
                <w:bCs/>
                <w:lang w:val="en-US"/>
              </w:rPr>
              <w:br/>
              <w:t>service band</w:t>
            </w:r>
          </w:p>
        </w:tc>
        <w:tc>
          <w:tcPr>
            <w:tcW w:w="1559" w:type="dxa"/>
            <w:vAlign w:val="center"/>
          </w:tcPr>
          <w:p w14:paraId="76366B27" w14:textId="7B4E3B6F" w:rsidR="003A3475" w:rsidRPr="003A3475" w:rsidRDefault="003A3475" w:rsidP="003A3475">
            <w:pPr>
              <w:pStyle w:val="BodyText"/>
              <w:jc w:val="center"/>
              <w:rPr>
                <w:b/>
                <w:bCs/>
                <w:lang w:val="en-US"/>
              </w:rPr>
            </w:pPr>
            <w:r w:rsidRPr="003A3475">
              <w:rPr>
                <w:b/>
                <w:bCs/>
                <w:lang w:val="en-US"/>
              </w:rPr>
              <w:t>Active service</w:t>
            </w:r>
          </w:p>
        </w:tc>
        <w:tc>
          <w:tcPr>
            <w:tcW w:w="4819" w:type="dxa"/>
            <w:vAlign w:val="center"/>
          </w:tcPr>
          <w:p w14:paraId="20B9B5B9" w14:textId="5A79D90D" w:rsidR="003A3475" w:rsidRPr="003A3475" w:rsidRDefault="003A3475" w:rsidP="003A3475">
            <w:pPr>
              <w:pStyle w:val="BodyText"/>
              <w:jc w:val="center"/>
              <w:rPr>
                <w:b/>
                <w:bCs/>
                <w:lang w:val="en-US"/>
              </w:rPr>
            </w:pPr>
            <w:r w:rsidRPr="003A3475">
              <w:rPr>
                <w:b/>
                <w:bCs/>
                <w:lang w:val="en-US"/>
              </w:rPr>
              <w:t>Limits of unwanted emission power from active service stations in a specified bandwidth within the EESS (passive) band</w:t>
            </w:r>
          </w:p>
        </w:tc>
      </w:tr>
      <w:tr w:rsidR="003A3475" w14:paraId="6FEBE007" w14:textId="77777777" w:rsidTr="003A3475">
        <w:tc>
          <w:tcPr>
            <w:tcW w:w="1526" w:type="dxa"/>
            <w:vAlign w:val="center"/>
          </w:tcPr>
          <w:p w14:paraId="54DD6FBD" w14:textId="1B1FE0F1" w:rsidR="003A3475" w:rsidRDefault="003A3475" w:rsidP="003A3475">
            <w:pPr>
              <w:pStyle w:val="BodyText"/>
              <w:jc w:val="center"/>
              <w:rPr>
                <w:lang w:val="en-US"/>
              </w:rPr>
            </w:pPr>
            <w:r w:rsidRPr="003A3475">
              <w:rPr>
                <w:lang w:val="en-US"/>
              </w:rPr>
              <w:t>23.6-24.0 GHz</w:t>
            </w:r>
          </w:p>
        </w:tc>
        <w:tc>
          <w:tcPr>
            <w:tcW w:w="1843" w:type="dxa"/>
            <w:vAlign w:val="center"/>
          </w:tcPr>
          <w:p w14:paraId="4E148DE3" w14:textId="02EFDF64" w:rsidR="003A3475" w:rsidRDefault="003A3475" w:rsidP="003A3475">
            <w:pPr>
              <w:pStyle w:val="BodyText"/>
              <w:jc w:val="center"/>
              <w:rPr>
                <w:lang w:val="en-US"/>
              </w:rPr>
            </w:pPr>
            <w:r w:rsidRPr="003A3475">
              <w:rPr>
                <w:lang w:val="en-US"/>
              </w:rPr>
              <w:t>24.25-27.5 GHz</w:t>
            </w:r>
          </w:p>
        </w:tc>
        <w:tc>
          <w:tcPr>
            <w:tcW w:w="1559" w:type="dxa"/>
            <w:vAlign w:val="center"/>
          </w:tcPr>
          <w:p w14:paraId="05940A58" w14:textId="28287CE5" w:rsidR="003A3475" w:rsidRDefault="003A3475" w:rsidP="003A3475">
            <w:pPr>
              <w:pStyle w:val="BodyText"/>
              <w:jc w:val="center"/>
              <w:rPr>
                <w:lang w:val="en-US"/>
              </w:rPr>
            </w:pPr>
            <w:r>
              <w:rPr>
                <w:lang w:val="en-US"/>
              </w:rPr>
              <w:t>Mobile</w:t>
            </w:r>
          </w:p>
        </w:tc>
        <w:tc>
          <w:tcPr>
            <w:tcW w:w="4819" w:type="dxa"/>
          </w:tcPr>
          <w:p w14:paraId="0F7D6564" w14:textId="4D080BE6" w:rsidR="003A3475" w:rsidRPr="003A3475" w:rsidRDefault="003A3475" w:rsidP="003A3475">
            <w:pPr>
              <w:pStyle w:val="BodyText"/>
              <w:rPr>
                <w:lang w:val="en-US"/>
              </w:rPr>
            </w:pPr>
            <w:r w:rsidRPr="003A3475">
              <w:rPr>
                <w:lang w:val="en-US"/>
              </w:rPr>
              <w:t>−33 dBW</w:t>
            </w:r>
            <w:r w:rsidRPr="003A3475">
              <w:rPr>
                <w:vertAlign w:val="superscript"/>
                <w:lang w:val="en-US"/>
              </w:rPr>
              <w:t>a</w:t>
            </w:r>
            <w:r w:rsidRPr="003A3475">
              <w:rPr>
                <w:lang w:val="en-US"/>
              </w:rPr>
              <w:t xml:space="preserve"> in any 200 MHz of the EESS (passive) band</w:t>
            </w:r>
            <w:r>
              <w:rPr>
                <w:lang w:val="en-US"/>
              </w:rPr>
              <w:t xml:space="preserve"> </w:t>
            </w:r>
            <w:r w:rsidRPr="003A3475">
              <w:rPr>
                <w:lang w:val="en-US"/>
              </w:rPr>
              <w:t>for IMT base stations</w:t>
            </w:r>
            <w:r w:rsidRPr="003A3475">
              <w:rPr>
                <w:vertAlign w:val="superscript"/>
                <w:lang w:val="en-US"/>
              </w:rPr>
              <w:t>5</w:t>
            </w:r>
          </w:p>
          <w:p w14:paraId="1B5D9362" w14:textId="2B0ECD1D" w:rsidR="003A3475" w:rsidRDefault="003A3475" w:rsidP="003A3475">
            <w:pPr>
              <w:pStyle w:val="BodyText"/>
              <w:rPr>
                <w:lang w:val="en-US"/>
              </w:rPr>
            </w:pPr>
            <w:r w:rsidRPr="003A3475">
              <w:rPr>
                <w:lang w:val="en-US"/>
              </w:rPr>
              <w:t>−29 dBW</w:t>
            </w:r>
            <w:r w:rsidRPr="003A3475">
              <w:rPr>
                <w:vertAlign w:val="superscript"/>
                <w:lang w:val="en-US"/>
              </w:rPr>
              <w:t>b</w:t>
            </w:r>
            <w:r w:rsidRPr="003A3475">
              <w:rPr>
                <w:lang w:val="en-US"/>
              </w:rPr>
              <w:t xml:space="preserve"> in any 200 MHz of the EESS (passive) band</w:t>
            </w:r>
            <w:r>
              <w:rPr>
                <w:lang w:val="en-US"/>
              </w:rPr>
              <w:t xml:space="preserve"> </w:t>
            </w:r>
            <w:r w:rsidRPr="003A3475">
              <w:rPr>
                <w:lang w:val="en-US"/>
              </w:rPr>
              <w:t>for IMT mobile stations</w:t>
            </w:r>
            <w:r w:rsidRPr="003A3475">
              <w:rPr>
                <w:vertAlign w:val="superscript"/>
                <w:lang w:val="en-US"/>
              </w:rPr>
              <w:t>5</w:t>
            </w:r>
          </w:p>
        </w:tc>
      </w:tr>
      <w:tr w:rsidR="003A3475" w14:paraId="6A0C51A6" w14:textId="77777777" w:rsidTr="0032435B">
        <w:tc>
          <w:tcPr>
            <w:tcW w:w="9747" w:type="dxa"/>
            <w:gridSpan w:val="4"/>
            <w:vAlign w:val="center"/>
          </w:tcPr>
          <w:p w14:paraId="46D2BB79" w14:textId="3B707A08" w:rsidR="003A3475" w:rsidRDefault="003A3475" w:rsidP="003A3475">
            <w:pPr>
              <w:pStyle w:val="BodyText"/>
              <w:rPr>
                <w:lang w:val="en-US"/>
              </w:rPr>
            </w:pPr>
            <w:r w:rsidRPr="003A3475">
              <w:rPr>
                <w:i/>
                <w:iCs/>
                <w:lang w:val="en-US"/>
              </w:rPr>
              <w:t>Relevant Notes:</w:t>
            </w:r>
          </w:p>
          <w:p w14:paraId="0587B6B9" w14:textId="6C6F064B" w:rsidR="003A3475" w:rsidRPr="003A3475" w:rsidRDefault="003A3475" w:rsidP="003A3475">
            <w:pPr>
              <w:pStyle w:val="BodyText"/>
              <w:ind w:left="142" w:hanging="142"/>
              <w:rPr>
                <w:lang w:val="en-US"/>
              </w:rPr>
            </w:pPr>
            <w:r w:rsidRPr="003A3475">
              <w:rPr>
                <w:vertAlign w:val="superscript"/>
                <w:lang w:val="en-US"/>
              </w:rPr>
              <w:t>5</w:t>
            </w:r>
            <w:r w:rsidRPr="003A3475">
              <w:rPr>
                <w:lang w:val="en-US"/>
              </w:rPr>
              <w:t xml:space="preserve"> </w:t>
            </w:r>
            <w:r>
              <w:rPr>
                <w:lang w:val="en-US"/>
              </w:rPr>
              <w:tab/>
            </w:r>
            <w:r w:rsidRPr="003A3475">
              <w:rPr>
                <w:lang w:val="en-US"/>
              </w:rPr>
              <w:t>The unwanted emission power level is considered in terms of TRP. The TRP is to be understood here as the</w:t>
            </w:r>
            <w:r>
              <w:rPr>
                <w:lang w:val="en-US"/>
              </w:rPr>
              <w:t xml:space="preserve"> </w:t>
            </w:r>
            <w:r w:rsidRPr="003A3475">
              <w:rPr>
                <w:lang w:val="en-US"/>
              </w:rPr>
              <w:t>integral of the power transmitted from all antenna elements in different directions over the entire radiation sphere.</w:t>
            </w:r>
          </w:p>
          <w:p w14:paraId="768052EC" w14:textId="613C4613" w:rsidR="003A3475" w:rsidRPr="003A3475" w:rsidRDefault="003A3475" w:rsidP="003A3475">
            <w:pPr>
              <w:pStyle w:val="BodyText"/>
              <w:ind w:left="142" w:hanging="142"/>
              <w:rPr>
                <w:lang w:val="en-US"/>
              </w:rPr>
            </w:pPr>
            <w:r w:rsidRPr="003A3475">
              <w:rPr>
                <w:vertAlign w:val="superscript"/>
                <w:lang w:val="en-US"/>
              </w:rPr>
              <w:t>a</w:t>
            </w:r>
            <w:r w:rsidRPr="003A3475">
              <w:rPr>
                <w:lang w:val="en-US"/>
              </w:rPr>
              <w:t xml:space="preserve"> </w:t>
            </w:r>
            <w:r>
              <w:rPr>
                <w:lang w:val="en-US"/>
              </w:rPr>
              <w:tab/>
            </w:r>
            <w:r w:rsidRPr="003A3475">
              <w:rPr>
                <w:lang w:val="en-US"/>
              </w:rPr>
              <w:t>A limit of −39 dB(W/200 MHz) will apply to IMT base stations brought into use after</w:t>
            </w:r>
            <w:r>
              <w:rPr>
                <w:lang w:val="en-US"/>
              </w:rPr>
              <w:t xml:space="preserve"> </w:t>
            </w:r>
            <w:r w:rsidRPr="003A3475">
              <w:rPr>
                <w:lang w:val="en-US"/>
              </w:rPr>
              <w:t>1 September 2027. This limit will not apply to IMT base stations which have been brought into use prior to this date.</w:t>
            </w:r>
            <w:r w:rsidR="00F76C27">
              <w:rPr>
                <w:lang w:val="en-US"/>
              </w:rPr>
              <w:t xml:space="preserve"> </w:t>
            </w:r>
            <w:r w:rsidRPr="003A3475">
              <w:rPr>
                <w:lang w:val="en-US"/>
              </w:rPr>
              <w:t>For those IMT base stations, the limit of −33 dB(W/200 MHz) will continue to apply after this date.</w:t>
            </w:r>
          </w:p>
          <w:p w14:paraId="642E94B8" w14:textId="7B1E052B" w:rsidR="003A3475" w:rsidRPr="003A3475" w:rsidRDefault="003A3475" w:rsidP="003A3475">
            <w:pPr>
              <w:pStyle w:val="BodyText"/>
              <w:ind w:left="142" w:hanging="142"/>
              <w:rPr>
                <w:lang w:val="en-US"/>
              </w:rPr>
            </w:pPr>
            <w:r w:rsidRPr="003A3475">
              <w:rPr>
                <w:vertAlign w:val="superscript"/>
                <w:lang w:val="en-US"/>
              </w:rPr>
              <w:t>b</w:t>
            </w:r>
            <w:r>
              <w:rPr>
                <w:vertAlign w:val="superscript"/>
                <w:lang w:val="en-US"/>
              </w:rPr>
              <w:tab/>
            </w:r>
            <w:r w:rsidRPr="003A3475">
              <w:rPr>
                <w:lang w:val="en-US"/>
              </w:rPr>
              <w:t>A limit of −35 dB(W/200 MHz) will apply to IMT mobile stations brought into use after</w:t>
            </w:r>
            <w:r>
              <w:rPr>
                <w:lang w:val="en-US"/>
              </w:rPr>
              <w:t xml:space="preserve"> </w:t>
            </w:r>
            <w:r w:rsidRPr="003A3475">
              <w:rPr>
                <w:lang w:val="en-US"/>
              </w:rPr>
              <w:t>1 September 2027. This limit will not apply to IMT mobile stations which have been brought into use prior to this</w:t>
            </w:r>
            <w:r>
              <w:rPr>
                <w:lang w:val="en-US"/>
              </w:rPr>
              <w:t xml:space="preserve"> </w:t>
            </w:r>
            <w:r w:rsidRPr="003A3475">
              <w:rPr>
                <w:lang w:val="en-US"/>
              </w:rPr>
              <w:t xml:space="preserve">date. For those IMT mobile stations, the limit of −29 dB(W/200 MHz) will continue to apply after this date. </w:t>
            </w:r>
          </w:p>
        </w:tc>
      </w:tr>
    </w:tbl>
    <w:p w14:paraId="749ACD28" w14:textId="48F9C399" w:rsidR="00A828EE" w:rsidRDefault="00A828EE" w:rsidP="00A828EE">
      <w:pPr>
        <w:pStyle w:val="BodyText"/>
        <w:rPr>
          <w:lang w:val="en-US"/>
        </w:rPr>
      </w:pPr>
    </w:p>
    <w:p w14:paraId="66D5324C" w14:textId="4A5239DD" w:rsidR="00F76C27" w:rsidRDefault="00F76C27" w:rsidP="00A828EE">
      <w:pPr>
        <w:pStyle w:val="BodyText"/>
        <w:rPr>
          <w:lang w:val="en-US"/>
        </w:rPr>
      </w:pPr>
      <w:r>
        <w:rPr>
          <w:lang w:val="en-US"/>
        </w:rPr>
        <w:t>It should be noted that that there is a “phasing” of the limits</w:t>
      </w:r>
      <w:r w:rsidR="007208A0" w:rsidRPr="007208A0">
        <w:rPr>
          <w:lang w:val="en-US"/>
        </w:rPr>
        <w:t xml:space="preserve"> </w:t>
      </w:r>
      <w:r w:rsidR="007208A0">
        <w:rPr>
          <w:lang w:val="en-US"/>
        </w:rPr>
        <w:t xml:space="preserve">introduced </w:t>
      </w:r>
      <w:r w:rsidR="007208A0">
        <w:rPr>
          <w:lang w:val="en-US"/>
        </w:rPr>
        <w:t xml:space="preserve">in </w:t>
      </w:r>
      <w:r w:rsidR="007208A0">
        <w:rPr>
          <w:lang w:val="en-US"/>
        </w:rPr>
        <w:fldChar w:fldCharType="begin"/>
      </w:r>
      <w:r w:rsidR="007208A0">
        <w:rPr>
          <w:lang w:val="en-US"/>
        </w:rPr>
        <w:instrText xml:space="preserve"> REF _Ref32577005 \h </w:instrText>
      </w:r>
      <w:r w:rsidR="007208A0">
        <w:rPr>
          <w:lang w:val="en-US"/>
        </w:rPr>
      </w:r>
      <w:r w:rsidR="007208A0">
        <w:rPr>
          <w:lang w:val="en-US"/>
        </w:rPr>
        <w:fldChar w:fldCharType="separate"/>
      </w:r>
      <w:r w:rsidR="007208A0">
        <w:t xml:space="preserve">Table </w:t>
      </w:r>
      <w:r w:rsidR="007208A0">
        <w:rPr>
          <w:noProof/>
        </w:rPr>
        <w:t>1</w:t>
      </w:r>
      <w:r w:rsidR="007208A0">
        <w:rPr>
          <w:lang w:val="en-US"/>
        </w:rPr>
        <w:fldChar w:fldCharType="end"/>
      </w:r>
      <w:r>
        <w:rPr>
          <w:lang w:val="en-US"/>
        </w:rPr>
        <w:t>. A first set of “</w:t>
      </w:r>
      <w:r w:rsidR="00143206">
        <w:rPr>
          <w:lang w:val="en-US"/>
        </w:rPr>
        <w:t>P</w:t>
      </w:r>
      <w:r>
        <w:rPr>
          <w:lang w:val="en-US"/>
        </w:rPr>
        <w:t>hase 1” limits is defined in the table, while a set of more strict limits are defined for “</w:t>
      </w:r>
      <w:r w:rsidR="00A54509">
        <w:rPr>
          <w:lang w:val="en-US"/>
        </w:rPr>
        <w:t>P</w:t>
      </w:r>
      <w:r>
        <w:rPr>
          <w:lang w:val="en-US"/>
        </w:rPr>
        <w:t xml:space="preserve">hase 2” </w:t>
      </w:r>
      <w:r w:rsidR="007208A0">
        <w:rPr>
          <w:lang w:val="en-US"/>
        </w:rPr>
        <w:t xml:space="preserve">in the notes </w:t>
      </w:r>
      <w:r>
        <w:rPr>
          <w:lang w:val="en-US"/>
        </w:rPr>
        <w:t>for equipment brought into use after 1 September 2027.</w:t>
      </w:r>
    </w:p>
    <w:p w14:paraId="4EF95013" w14:textId="1B7D3133" w:rsidR="00F76C27" w:rsidRPr="00F76C27" w:rsidRDefault="00F76C27" w:rsidP="00F76C27">
      <w:pPr>
        <w:pStyle w:val="BodyText"/>
        <w:tabs>
          <w:tab w:val="left" w:pos="1843"/>
        </w:tabs>
        <w:ind w:left="1843" w:hanging="1417"/>
        <w:rPr>
          <w:lang w:val="en-US"/>
        </w:rPr>
      </w:pPr>
      <w:r w:rsidRPr="00F76C27">
        <w:rPr>
          <w:b/>
          <w:bCs/>
          <w:lang w:val="en-US"/>
        </w:rPr>
        <w:t>Observation 1:</w:t>
      </w:r>
      <w:r w:rsidRPr="00F76C27">
        <w:rPr>
          <w:lang w:val="en-US"/>
        </w:rPr>
        <w:tab/>
      </w:r>
      <w:r>
        <w:rPr>
          <w:lang w:val="en-US"/>
        </w:rPr>
        <w:t xml:space="preserve">The limits of unwanted emissions agreed at WRC-19 are defined in two phases, with stricter limits applicable </w:t>
      </w:r>
      <w:r w:rsidR="006312BD">
        <w:rPr>
          <w:lang w:val="en-US"/>
        </w:rPr>
        <w:t xml:space="preserve">to </w:t>
      </w:r>
      <w:r w:rsidR="006312BD" w:rsidRPr="003A3475">
        <w:rPr>
          <w:lang w:val="en-US"/>
        </w:rPr>
        <w:t xml:space="preserve">IMT base stations brought into use </w:t>
      </w:r>
      <w:r>
        <w:rPr>
          <w:lang w:val="en-US"/>
        </w:rPr>
        <w:t>after 1 September 2027.</w:t>
      </w:r>
    </w:p>
    <w:p w14:paraId="3A4515CE" w14:textId="77777777" w:rsidR="00F76C27" w:rsidRDefault="00F76C27" w:rsidP="00A828EE">
      <w:pPr>
        <w:pStyle w:val="BodyText"/>
        <w:rPr>
          <w:lang w:val="en-US"/>
        </w:rPr>
      </w:pPr>
    </w:p>
    <w:p w14:paraId="30D1A0D2" w14:textId="67B42B3B" w:rsidR="00F76C27" w:rsidRDefault="00F76C27" w:rsidP="00A828EE">
      <w:pPr>
        <w:pStyle w:val="BodyText"/>
        <w:rPr>
          <w:lang w:val="en-US"/>
        </w:rPr>
      </w:pPr>
      <w:r>
        <w:rPr>
          <w:lang w:val="en-US"/>
        </w:rPr>
        <w:t>With the limits adopted by WRC-19 and applicable to all regions, they should also be considered for 3GPP specifications. It is noted that the limits are defined as TRP using dBW, while 3GPP limits are normally defined using dBm.</w:t>
      </w:r>
    </w:p>
    <w:p w14:paraId="5D3778F5" w14:textId="63E25F1B" w:rsidR="00F76C27" w:rsidRPr="00F76C27" w:rsidRDefault="00F76C27" w:rsidP="00F76C27">
      <w:pPr>
        <w:pStyle w:val="BodyText"/>
        <w:tabs>
          <w:tab w:val="left" w:pos="1843"/>
        </w:tabs>
        <w:ind w:left="1843" w:hanging="1417"/>
        <w:rPr>
          <w:lang w:val="en-US"/>
        </w:rPr>
      </w:pPr>
      <w:r w:rsidRPr="00F76C27">
        <w:rPr>
          <w:b/>
          <w:bCs/>
          <w:lang w:val="en-US"/>
        </w:rPr>
        <w:lastRenderedPageBreak/>
        <w:t xml:space="preserve">Observation </w:t>
      </w:r>
      <w:r w:rsidR="000B008F">
        <w:rPr>
          <w:b/>
          <w:bCs/>
          <w:lang w:val="en-US"/>
        </w:rPr>
        <w:t>2</w:t>
      </w:r>
      <w:r w:rsidRPr="00F76C27">
        <w:rPr>
          <w:b/>
          <w:bCs/>
          <w:lang w:val="en-US"/>
        </w:rPr>
        <w:t>:</w:t>
      </w:r>
      <w:r w:rsidRPr="00F76C27">
        <w:rPr>
          <w:lang w:val="en-US"/>
        </w:rPr>
        <w:tab/>
      </w:r>
      <w:r>
        <w:rPr>
          <w:lang w:val="en-US"/>
        </w:rPr>
        <w:t>The limits of unwanted emissions agreed at WRC-19 are defined as TRP using dBW. The corresponding limits using dBm for IMT base stations would be -3 dBm/200 MHz and -9 dBm/200 MHz (TRP) respectively</w:t>
      </w:r>
      <w:r w:rsidR="00A54509">
        <w:rPr>
          <w:lang w:val="en-US"/>
        </w:rPr>
        <w:t xml:space="preserve"> for Phase 1 and 2</w:t>
      </w:r>
      <w:r>
        <w:rPr>
          <w:lang w:val="en-US"/>
        </w:rPr>
        <w:t>.</w:t>
      </w:r>
    </w:p>
    <w:p w14:paraId="7843DFEC" w14:textId="045000B5" w:rsidR="00367962" w:rsidRDefault="00367962" w:rsidP="00367962">
      <w:pPr>
        <w:pStyle w:val="Heading1"/>
        <w:rPr>
          <w:lang w:val="en-US"/>
        </w:rPr>
      </w:pPr>
      <w:r>
        <w:rPr>
          <w:lang w:val="en-US"/>
        </w:rPr>
        <w:t>Lim</w:t>
      </w:r>
      <w:r w:rsidR="00D5222E">
        <w:rPr>
          <w:lang w:val="en-US"/>
        </w:rPr>
        <w:t>i</w:t>
      </w:r>
      <w:r>
        <w:rPr>
          <w:lang w:val="en-US"/>
        </w:rPr>
        <w:t xml:space="preserve">ts </w:t>
      </w:r>
      <w:r w:rsidR="00F31158">
        <w:rPr>
          <w:lang w:val="en-US"/>
        </w:rPr>
        <w:t>applicable to</w:t>
      </w:r>
      <w:r>
        <w:rPr>
          <w:lang w:val="en-US"/>
        </w:rPr>
        <w:t xml:space="preserve"> Band n257 and n258</w:t>
      </w:r>
    </w:p>
    <w:p w14:paraId="326F7206" w14:textId="5D819A3E" w:rsidR="00367962" w:rsidRDefault="00F31158" w:rsidP="00367962">
      <w:pPr>
        <w:pStyle w:val="BodyText"/>
        <w:rPr>
          <w:lang w:val="en-US"/>
        </w:rPr>
      </w:pPr>
      <w:r>
        <w:rPr>
          <w:lang w:val="en-US"/>
        </w:rPr>
        <w:t xml:space="preserve">The limits of unwanted emissions defined by WRC-19 in </w:t>
      </w:r>
      <w:r>
        <w:rPr>
          <w:lang w:val="en-US"/>
        </w:rPr>
        <w:fldChar w:fldCharType="begin"/>
      </w:r>
      <w:r>
        <w:rPr>
          <w:lang w:val="en-US"/>
        </w:rPr>
        <w:instrText xml:space="preserve"> REF _Ref32577005 \h </w:instrText>
      </w:r>
      <w:r>
        <w:rPr>
          <w:lang w:val="en-US"/>
        </w:rPr>
      </w:r>
      <w:r>
        <w:rPr>
          <w:lang w:val="en-US"/>
        </w:rPr>
        <w:fldChar w:fldCharType="separate"/>
      </w:r>
      <w:r>
        <w:t xml:space="preserve">Table </w:t>
      </w:r>
      <w:r>
        <w:rPr>
          <w:noProof/>
        </w:rPr>
        <w:t>1</w:t>
      </w:r>
      <w:r>
        <w:rPr>
          <w:lang w:val="en-US"/>
        </w:rPr>
        <w:fldChar w:fldCharType="end"/>
      </w:r>
      <w:r>
        <w:rPr>
          <w:lang w:val="en-US"/>
        </w:rPr>
        <w:t xml:space="preserve"> would apply </w:t>
      </w:r>
      <w:r w:rsidR="00A54509">
        <w:rPr>
          <w:lang w:val="en-US"/>
        </w:rPr>
        <w:t xml:space="preserve">in FR2 </w:t>
      </w:r>
      <w:r>
        <w:rPr>
          <w:lang w:val="en-US"/>
        </w:rPr>
        <w:t>to</w:t>
      </w:r>
      <w:r w:rsidR="007208A0">
        <w:rPr>
          <w:lang w:val="en-US"/>
        </w:rPr>
        <w:t xml:space="preserve"> NR</w:t>
      </w:r>
      <w:r>
        <w:rPr>
          <w:lang w:val="en-US"/>
        </w:rPr>
        <w:t xml:space="preserve"> </w:t>
      </w:r>
      <w:r w:rsidR="00A54509">
        <w:rPr>
          <w:lang w:val="en-US"/>
        </w:rPr>
        <w:t xml:space="preserve">Bands </w:t>
      </w:r>
      <w:r>
        <w:rPr>
          <w:lang w:val="en-US"/>
        </w:rPr>
        <w:t xml:space="preserve">n257 and n258, as shown in </w:t>
      </w:r>
      <w:r>
        <w:rPr>
          <w:lang w:val="en-US"/>
        </w:rPr>
        <w:fldChar w:fldCharType="begin"/>
      </w:r>
      <w:r>
        <w:rPr>
          <w:lang w:val="en-US"/>
        </w:rPr>
        <w:instrText xml:space="preserve"> REF _Ref32578389 \h </w:instrText>
      </w:r>
      <w:r>
        <w:rPr>
          <w:lang w:val="en-US"/>
        </w:rPr>
      </w:r>
      <w:r>
        <w:rPr>
          <w:lang w:val="en-US"/>
        </w:rPr>
        <w:fldChar w:fldCharType="separate"/>
      </w:r>
      <w:r>
        <w:t xml:space="preserve">Table </w:t>
      </w:r>
      <w:r>
        <w:rPr>
          <w:noProof/>
        </w:rPr>
        <w:t>2</w:t>
      </w:r>
      <w:r>
        <w:rPr>
          <w:lang w:val="en-US"/>
        </w:rPr>
        <w:fldChar w:fldCharType="end"/>
      </w:r>
      <w:r>
        <w:rPr>
          <w:lang w:val="en-US"/>
        </w:rPr>
        <w:t xml:space="preserve">. Band n257 overlaps partly </w:t>
      </w:r>
      <w:r w:rsidR="00A54509">
        <w:rPr>
          <w:lang w:val="en-US"/>
        </w:rPr>
        <w:t xml:space="preserve">in </w:t>
      </w:r>
      <w:r w:rsidR="007208A0">
        <w:rPr>
          <w:lang w:val="en-US"/>
        </w:rPr>
        <w:t xml:space="preserve">the range </w:t>
      </w:r>
      <w:r w:rsidR="00A54509">
        <w:rPr>
          <w:lang w:val="en-US"/>
        </w:rPr>
        <w:t xml:space="preserve">26.5-27.5 GHz with the “Active service band” defined in </w:t>
      </w:r>
      <w:r w:rsidR="00A54509">
        <w:rPr>
          <w:lang w:val="en-US"/>
        </w:rPr>
        <w:fldChar w:fldCharType="begin"/>
      </w:r>
      <w:r w:rsidR="00A54509">
        <w:rPr>
          <w:lang w:val="en-US"/>
        </w:rPr>
        <w:instrText xml:space="preserve"> REF _Ref32577005 \h </w:instrText>
      </w:r>
      <w:r w:rsidR="00A54509">
        <w:rPr>
          <w:lang w:val="en-US"/>
        </w:rPr>
      </w:r>
      <w:r w:rsidR="00A54509">
        <w:rPr>
          <w:lang w:val="en-US"/>
        </w:rPr>
        <w:fldChar w:fldCharType="separate"/>
      </w:r>
      <w:r w:rsidR="00A54509">
        <w:t xml:space="preserve">Table </w:t>
      </w:r>
      <w:r w:rsidR="00A54509">
        <w:rPr>
          <w:noProof/>
        </w:rPr>
        <w:t>1</w:t>
      </w:r>
      <w:r w:rsidR="00A54509">
        <w:rPr>
          <w:lang w:val="en-US"/>
        </w:rPr>
        <w:fldChar w:fldCharType="end"/>
      </w:r>
      <w:r>
        <w:rPr>
          <w:lang w:val="en-US"/>
        </w:rPr>
        <w:t xml:space="preserve">, while band n258 is identical to the Active service band </w:t>
      </w:r>
      <w:r w:rsidR="00A54509">
        <w:rPr>
          <w:lang w:val="en-US"/>
        </w:rPr>
        <w:t xml:space="preserve">in </w:t>
      </w:r>
      <w:r w:rsidR="00A54509">
        <w:rPr>
          <w:lang w:val="en-US"/>
        </w:rPr>
        <w:fldChar w:fldCharType="begin"/>
      </w:r>
      <w:r w:rsidR="00A54509">
        <w:rPr>
          <w:lang w:val="en-US"/>
        </w:rPr>
        <w:instrText xml:space="preserve"> REF _Ref32577005 \h </w:instrText>
      </w:r>
      <w:r w:rsidR="00A54509">
        <w:rPr>
          <w:lang w:val="en-US"/>
        </w:rPr>
      </w:r>
      <w:r w:rsidR="00A54509">
        <w:rPr>
          <w:lang w:val="en-US"/>
        </w:rPr>
        <w:fldChar w:fldCharType="separate"/>
      </w:r>
      <w:r w:rsidR="00A54509">
        <w:t xml:space="preserve">Table </w:t>
      </w:r>
      <w:r w:rsidR="00A54509">
        <w:rPr>
          <w:noProof/>
        </w:rPr>
        <w:t>1</w:t>
      </w:r>
      <w:r w:rsidR="00A54509">
        <w:rPr>
          <w:lang w:val="en-US"/>
        </w:rPr>
        <w:fldChar w:fldCharType="end"/>
      </w:r>
      <w:r w:rsidR="00A54509">
        <w:rPr>
          <w:lang w:val="en-US"/>
        </w:rPr>
        <w:t xml:space="preserve"> </w:t>
      </w:r>
      <w:r>
        <w:rPr>
          <w:lang w:val="en-US"/>
        </w:rPr>
        <w:t>and thus overlaps fully.</w:t>
      </w:r>
    </w:p>
    <w:p w14:paraId="7D86666A" w14:textId="3F7B1899" w:rsidR="000B008F" w:rsidRDefault="000B008F" w:rsidP="000B008F">
      <w:pPr>
        <w:pStyle w:val="Caption"/>
        <w:keepNext/>
        <w:spacing w:after="120"/>
        <w:jc w:val="center"/>
      </w:pPr>
      <w:bookmarkStart w:id="2" w:name="_Ref32578389"/>
      <w:r>
        <w:t xml:space="preserve">Table </w:t>
      </w:r>
      <w:r>
        <w:fldChar w:fldCharType="begin"/>
      </w:r>
      <w:r>
        <w:instrText xml:space="preserve"> SEQ Table \* ARABIC </w:instrText>
      </w:r>
      <w:r>
        <w:fldChar w:fldCharType="separate"/>
      </w:r>
      <w:r>
        <w:rPr>
          <w:noProof/>
        </w:rPr>
        <w:t>2</w:t>
      </w:r>
      <w:r>
        <w:fldChar w:fldCharType="end"/>
      </w:r>
      <w:bookmarkEnd w:id="2"/>
      <w:r>
        <w:t>: Excerpt from TR 38.104 table 5.2-2 (</w:t>
      </w:r>
      <w:r w:rsidRPr="000B008F">
        <w:t>NR operating bands in FR2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B008F" w:rsidRPr="0006458D" w14:paraId="3994D6E4" w14:textId="77777777" w:rsidTr="00732B64">
        <w:trPr>
          <w:trHeight w:val="704"/>
          <w:jc w:val="center"/>
        </w:trPr>
        <w:tc>
          <w:tcPr>
            <w:tcW w:w="1037" w:type="dxa"/>
            <w:shd w:val="clear" w:color="auto" w:fill="auto"/>
          </w:tcPr>
          <w:p w14:paraId="2CCAAFBC" w14:textId="77777777" w:rsidR="000B008F" w:rsidRPr="0006458D" w:rsidRDefault="000B008F" w:rsidP="00732B64">
            <w:pPr>
              <w:pStyle w:val="TAH"/>
              <w:rPr>
                <w:rFonts w:cs="Arial"/>
              </w:rPr>
            </w:pPr>
            <w:r w:rsidRPr="0006458D">
              <w:rPr>
                <w:rFonts w:cs="Arial"/>
              </w:rPr>
              <w:t xml:space="preserve">NR </w:t>
            </w:r>
            <w:r w:rsidRPr="0006458D">
              <w:rPr>
                <w:rFonts w:cs="Arial"/>
                <w:i/>
              </w:rPr>
              <w:t>operating band</w:t>
            </w:r>
          </w:p>
        </w:tc>
        <w:tc>
          <w:tcPr>
            <w:tcW w:w="3106" w:type="dxa"/>
            <w:shd w:val="clear" w:color="auto" w:fill="auto"/>
          </w:tcPr>
          <w:p w14:paraId="76C486DA" w14:textId="77777777" w:rsidR="000B008F" w:rsidRPr="0006458D" w:rsidRDefault="000B008F" w:rsidP="00732B64">
            <w:pPr>
              <w:pStyle w:val="TAH"/>
              <w:rPr>
                <w:rFonts w:cs="Arial"/>
              </w:rPr>
            </w:pPr>
            <w:r w:rsidRPr="0006458D">
              <w:rPr>
                <w:rFonts w:cs="Arial"/>
              </w:rPr>
              <w:t xml:space="preserve">Uplink (UL) and Downlink (DL) </w:t>
            </w:r>
            <w:r w:rsidRPr="0006458D">
              <w:rPr>
                <w:rFonts w:cs="Arial"/>
                <w:i/>
              </w:rPr>
              <w:t>operating band</w:t>
            </w:r>
            <w:r w:rsidRPr="0006458D">
              <w:rPr>
                <w:rFonts w:cs="Arial"/>
              </w:rPr>
              <w:br/>
              <w:t>BS transmit/receive</w:t>
            </w:r>
            <w:r w:rsidRPr="0006458D">
              <w:rPr>
                <w:rFonts w:cs="Arial"/>
              </w:rPr>
              <w:br/>
              <w:t>UE transmit/receive</w:t>
            </w:r>
          </w:p>
          <w:p w14:paraId="6C7644F1" w14:textId="77777777" w:rsidR="000B008F" w:rsidRPr="0006458D" w:rsidRDefault="000B008F" w:rsidP="00732B64">
            <w:pPr>
              <w:pStyle w:val="TAH"/>
              <w:rPr>
                <w:rFonts w:cs="Arial"/>
                <w:vertAlign w:val="subscript"/>
              </w:rPr>
            </w:pPr>
            <w:r w:rsidRPr="0006458D">
              <w:rPr>
                <w:rFonts w:cs="Arial"/>
              </w:rPr>
              <w:t>F</w:t>
            </w:r>
            <w:r w:rsidRPr="0006458D">
              <w:rPr>
                <w:rFonts w:cs="Arial"/>
                <w:vertAlign w:val="subscript"/>
              </w:rPr>
              <w:t>UL,low</w:t>
            </w:r>
            <w:r w:rsidRPr="0006458D">
              <w:rPr>
                <w:rFonts w:cs="Arial"/>
              </w:rPr>
              <w:t xml:space="preserve">   –  F</w:t>
            </w:r>
            <w:r w:rsidRPr="0006458D">
              <w:rPr>
                <w:rFonts w:cs="Arial"/>
                <w:vertAlign w:val="subscript"/>
              </w:rPr>
              <w:t>UL,high</w:t>
            </w:r>
          </w:p>
          <w:p w14:paraId="103FB330" w14:textId="77777777" w:rsidR="000B008F" w:rsidRPr="0006458D" w:rsidRDefault="000B008F" w:rsidP="00732B64">
            <w:pPr>
              <w:pStyle w:val="TAH"/>
              <w:rPr>
                <w:rFonts w:cs="Arial"/>
              </w:rPr>
            </w:pPr>
            <w:r w:rsidRPr="0006458D">
              <w:rPr>
                <w:rFonts w:cs="Arial"/>
              </w:rPr>
              <w:t>F</w:t>
            </w:r>
            <w:r w:rsidRPr="0006458D">
              <w:rPr>
                <w:rFonts w:cs="Arial"/>
                <w:vertAlign w:val="subscript"/>
              </w:rPr>
              <w:t>DL,low</w:t>
            </w:r>
            <w:r w:rsidRPr="0006458D">
              <w:rPr>
                <w:rFonts w:cs="Arial"/>
              </w:rPr>
              <w:t xml:space="preserve">   –  F</w:t>
            </w:r>
            <w:r w:rsidRPr="0006458D">
              <w:rPr>
                <w:rFonts w:cs="Arial"/>
                <w:vertAlign w:val="subscript"/>
              </w:rPr>
              <w:t>DL,high</w:t>
            </w:r>
          </w:p>
        </w:tc>
        <w:tc>
          <w:tcPr>
            <w:tcW w:w="1286" w:type="dxa"/>
            <w:shd w:val="clear" w:color="auto" w:fill="auto"/>
          </w:tcPr>
          <w:p w14:paraId="76C9DF9F" w14:textId="77777777" w:rsidR="000B008F" w:rsidRPr="0006458D" w:rsidRDefault="000B008F" w:rsidP="00732B64">
            <w:pPr>
              <w:pStyle w:val="TAH"/>
              <w:rPr>
                <w:rFonts w:cs="Arial"/>
              </w:rPr>
            </w:pPr>
            <w:r w:rsidRPr="0006458D">
              <w:rPr>
                <w:rFonts w:cs="Arial"/>
              </w:rPr>
              <w:t xml:space="preserve">Duplex </w:t>
            </w:r>
            <w:r>
              <w:rPr>
                <w:rFonts w:cs="Arial"/>
              </w:rPr>
              <w:t>m</w:t>
            </w:r>
            <w:r w:rsidRPr="0006458D">
              <w:rPr>
                <w:rFonts w:cs="Arial"/>
              </w:rPr>
              <w:t>ode</w:t>
            </w:r>
          </w:p>
        </w:tc>
      </w:tr>
      <w:tr w:rsidR="000B008F" w:rsidRPr="0006458D" w14:paraId="07ACF864" w14:textId="77777777" w:rsidTr="00732B64">
        <w:trPr>
          <w:jc w:val="center"/>
        </w:trPr>
        <w:tc>
          <w:tcPr>
            <w:tcW w:w="1037" w:type="dxa"/>
            <w:shd w:val="clear" w:color="auto" w:fill="auto"/>
          </w:tcPr>
          <w:p w14:paraId="1E04B3AF" w14:textId="77777777" w:rsidR="000B008F" w:rsidRPr="0006458D" w:rsidRDefault="000B008F" w:rsidP="00732B64">
            <w:pPr>
              <w:pStyle w:val="TAC"/>
            </w:pPr>
            <w:r w:rsidRPr="0006458D">
              <w:t>n257</w:t>
            </w:r>
          </w:p>
        </w:tc>
        <w:tc>
          <w:tcPr>
            <w:tcW w:w="3106" w:type="dxa"/>
            <w:shd w:val="clear" w:color="auto" w:fill="auto"/>
          </w:tcPr>
          <w:p w14:paraId="356E05A9" w14:textId="77777777" w:rsidR="000B008F" w:rsidRPr="0006458D" w:rsidRDefault="000B008F" w:rsidP="00732B64">
            <w:pPr>
              <w:pStyle w:val="TAC"/>
            </w:pPr>
            <w:r w:rsidRPr="0006458D">
              <w:t>26500 MHz – 29500 MHz</w:t>
            </w:r>
          </w:p>
        </w:tc>
        <w:tc>
          <w:tcPr>
            <w:tcW w:w="1286" w:type="dxa"/>
            <w:shd w:val="clear" w:color="auto" w:fill="auto"/>
          </w:tcPr>
          <w:p w14:paraId="58DBEA00" w14:textId="77777777" w:rsidR="000B008F" w:rsidRPr="0006458D" w:rsidRDefault="000B008F" w:rsidP="00732B64">
            <w:pPr>
              <w:pStyle w:val="TAC"/>
            </w:pPr>
            <w:r w:rsidRPr="0006458D">
              <w:t>TDD</w:t>
            </w:r>
          </w:p>
        </w:tc>
      </w:tr>
      <w:tr w:rsidR="000B008F" w:rsidRPr="0006458D" w14:paraId="5CA7D1D0" w14:textId="77777777" w:rsidTr="00732B64">
        <w:trPr>
          <w:jc w:val="center"/>
        </w:trPr>
        <w:tc>
          <w:tcPr>
            <w:tcW w:w="1037" w:type="dxa"/>
            <w:shd w:val="clear" w:color="auto" w:fill="auto"/>
          </w:tcPr>
          <w:p w14:paraId="11C1C782" w14:textId="77777777" w:rsidR="000B008F" w:rsidRPr="0006458D" w:rsidRDefault="000B008F" w:rsidP="00732B64">
            <w:pPr>
              <w:pStyle w:val="TAC"/>
            </w:pPr>
            <w:r w:rsidRPr="0006458D">
              <w:t>n258</w:t>
            </w:r>
          </w:p>
        </w:tc>
        <w:tc>
          <w:tcPr>
            <w:tcW w:w="3106" w:type="dxa"/>
            <w:shd w:val="clear" w:color="auto" w:fill="auto"/>
          </w:tcPr>
          <w:p w14:paraId="520F7C06" w14:textId="77777777" w:rsidR="000B008F" w:rsidRPr="0006458D" w:rsidRDefault="000B008F" w:rsidP="00732B64">
            <w:pPr>
              <w:pStyle w:val="TAC"/>
            </w:pPr>
            <w:r w:rsidRPr="0006458D">
              <w:t>24250 MHz – 27500 MHz</w:t>
            </w:r>
          </w:p>
        </w:tc>
        <w:tc>
          <w:tcPr>
            <w:tcW w:w="1286" w:type="dxa"/>
            <w:shd w:val="clear" w:color="auto" w:fill="auto"/>
          </w:tcPr>
          <w:p w14:paraId="3715DC0E" w14:textId="77777777" w:rsidR="000B008F" w:rsidRPr="0006458D" w:rsidRDefault="000B008F" w:rsidP="00732B64">
            <w:pPr>
              <w:pStyle w:val="TAC"/>
            </w:pPr>
            <w:r w:rsidRPr="0006458D">
              <w:t>TDD</w:t>
            </w:r>
          </w:p>
        </w:tc>
      </w:tr>
    </w:tbl>
    <w:p w14:paraId="7DD18E6A" w14:textId="62EA3B2A" w:rsidR="000B008F" w:rsidRDefault="000B008F" w:rsidP="00174101">
      <w:pPr>
        <w:pStyle w:val="BodyText"/>
        <w:rPr>
          <w:lang w:val="en-US"/>
        </w:rPr>
      </w:pPr>
    </w:p>
    <w:p w14:paraId="4EEC967E" w14:textId="40403701" w:rsidR="00F31158" w:rsidRDefault="00F31158" w:rsidP="00174101">
      <w:pPr>
        <w:pStyle w:val="BodyText"/>
        <w:rPr>
          <w:lang w:val="en-US"/>
        </w:rPr>
      </w:pPr>
      <w:r>
        <w:rPr>
          <w:lang w:val="en-US"/>
        </w:rPr>
        <w:t xml:space="preserve">The limits are defined for operation within the “Active service band” </w:t>
      </w:r>
      <w:r w:rsidR="00A54509">
        <w:rPr>
          <w:lang w:val="en-US"/>
        </w:rPr>
        <w:t>(</w:t>
      </w:r>
      <w:r>
        <w:rPr>
          <w:lang w:val="en-US"/>
        </w:rPr>
        <w:t>24.25 GHz to 27.5 GHz</w:t>
      </w:r>
      <w:r w:rsidR="00A54509">
        <w:rPr>
          <w:lang w:val="en-US"/>
        </w:rPr>
        <w:t>)</w:t>
      </w:r>
      <w:r>
        <w:rPr>
          <w:lang w:val="en-US"/>
        </w:rPr>
        <w:t xml:space="preserve"> </w:t>
      </w:r>
      <w:r w:rsidR="006312BD">
        <w:rPr>
          <w:lang w:val="en-US"/>
        </w:rPr>
        <w:t xml:space="preserve">as </w:t>
      </w:r>
      <w:r>
        <w:rPr>
          <w:lang w:val="en-US"/>
        </w:rPr>
        <w:t>defined by WRC-19 in Resolution 750 [1]. If the NR BS operating band only partly overlaps with that range, the limits should apply for operation in the overlapping range.</w:t>
      </w:r>
    </w:p>
    <w:p w14:paraId="70733B0D" w14:textId="68422C8F" w:rsidR="00F31158" w:rsidRPr="00F76C27" w:rsidRDefault="00F31158" w:rsidP="00F31158">
      <w:pPr>
        <w:pStyle w:val="BodyText"/>
        <w:tabs>
          <w:tab w:val="left" w:pos="1843"/>
        </w:tabs>
        <w:ind w:left="1843" w:hanging="1417"/>
        <w:rPr>
          <w:lang w:val="en-US"/>
        </w:rPr>
      </w:pPr>
      <w:r>
        <w:rPr>
          <w:b/>
          <w:bCs/>
          <w:lang w:val="en-US"/>
        </w:rPr>
        <w:t>Proposal</w:t>
      </w:r>
      <w:r w:rsidRPr="00F76C27">
        <w:rPr>
          <w:b/>
          <w:bCs/>
          <w:lang w:val="en-US"/>
        </w:rPr>
        <w:t xml:space="preserve"> </w:t>
      </w:r>
      <w:r>
        <w:rPr>
          <w:b/>
          <w:bCs/>
          <w:lang w:val="en-US"/>
        </w:rPr>
        <w:t>1</w:t>
      </w:r>
      <w:r w:rsidRPr="00F76C27">
        <w:rPr>
          <w:b/>
          <w:bCs/>
          <w:lang w:val="en-US"/>
        </w:rPr>
        <w:t>:</w:t>
      </w:r>
      <w:r w:rsidRPr="00F76C27">
        <w:rPr>
          <w:lang w:val="en-US"/>
        </w:rPr>
        <w:tab/>
      </w:r>
      <w:r>
        <w:rPr>
          <w:lang w:val="en-US"/>
        </w:rPr>
        <w:t xml:space="preserve">The limits of unwanted emissions in the range 23.6 GHz to 24 GHz should only apply for a BS where any part of the downlink transmission falls within the “Active service band” </w:t>
      </w:r>
      <w:r w:rsidR="00A54509">
        <w:rPr>
          <w:lang w:val="en-US"/>
        </w:rPr>
        <w:t xml:space="preserve">(24.25 GHz to 27.5 GHz) </w:t>
      </w:r>
      <w:r>
        <w:rPr>
          <w:lang w:val="en-US"/>
        </w:rPr>
        <w:t>defined in Resolution 750 [1].</w:t>
      </w:r>
    </w:p>
    <w:p w14:paraId="12CE7C00" w14:textId="0492DA1C" w:rsidR="00174101" w:rsidRDefault="00F31158" w:rsidP="00174101">
      <w:pPr>
        <w:pStyle w:val="BodyText"/>
        <w:rPr>
          <w:lang w:val="en-US"/>
        </w:rPr>
      </w:pPr>
      <w:r>
        <w:rPr>
          <w:lang w:val="en-US"/>
        </w:rPr>
        <w:t xml:space="preserve">This </w:t>
      </w:r>
      <w:r w:rsidR="006312BD">
        <w:rPr>
          <w:lang w:val="en-US"/>
        </w:rPr>
        <w:t xml:space="preserve">is </w:t>
      </w:r>
      <w:r>
        <w:rPr>
          <w:lang w:val="en-US"/>
        </w:rPr>
        <w:t>equivalent to the way the limits are proposed to apply for NR UEs in [2].</w:t>
      </w:r>
    </w:p>
    <w:p w14:paraId="10C607C4" w14:textId="48C50B99" w:rsidR="006312BD" w:rsidRDefault="006312BD" w:rsidP="00174101">
      <w:pPr>
        <w:pStyle w:val="BodyText"/>
        <w:rPr>
          <w:lang w:val="en-US"/>
        </w:rPr>
      </w:pPr>
      <w:r>
        <w:rPr>
          <w:lang w:val="en-US"/>
        </w:rPr>
        <w:t>As noted in Observation 1, there is a “phasing” of the limits, with stricter limits applicable</w:t>
      </w:r>
      <w:r w:rsidRPr="006312BD">
        <w:rPr>
          <w:lang w:val="en-US"/>
        </w:rPr>
        <w:t xml:space="preserve"> </w:t>
      </w:r>
      <w:r>
        <w:rPr>
          <w:lang w:val="en-US"/>
        </w:rPr>
        <w:t xml:space="preserve">to </w:t>
      </w:r>
      <w:r w:rsidRPr="003A3475">
        <w:rPr>
          <w:lang w:val="en-US"/>
        </w:rPr>
        <w:t xml:space="preserve">IMT base stations brought into use </w:t>
      </w:r>
      <w:r>
        <w:rPr>
          <w:lang w:val="en-US"/>
        </w:rPr>
        <w:t>after 1 September 2027. There are two ways to implement the phased approach in the NR BS specification:</w:t>
      </w:r>
    </w:p>
    <w:p w14:paraId="4A5AC05A" w14:textId="029E9A96" w:rsidR="006312BD" w:rsidRDefault="006312BD" w:rsidP="006312BD">
      <w:pPr>
        <w:pStyle w:val="BodyText"/>
        <w:numPr>
          <w:ilvl w:val="0"/>
          <w:numId w:val="16"/>
        </w:numPr>
        <w:rPr>
          <w:lang w:val="en-US"/>
        </w:rPr>
      </w:pPr>
      <w:r>
        <w:rPr>
          <w:lang w:val="en-US"/>
        </w:rPr>
        <w:t>Only Phase 1 limits are implemented at this time. The Phase 2 limits would be implemented at a later point in time, but before 1 September 2027.</w:t>
      </w:r>
    </w:p>
    <w:p w14:paraId="1BC6F292" w14:textId="2430D7DB" w:rsidR="006312BD" w:rsidRDefault="006312BD" w:rsidP="006312BD">
      <w:pPr>
        <w:pStyle w:val="BodyText"/>
        <w:numPr>
          <w:ilvl w:val="0"/>
          <w:numId w:val="16"/>
        </w:numPr>
        <w:rPr>
          <w:lang w:val="en-US"/>
        </w:rPr>
      </w:pPr>
      <w:r>
        <w:rPr>
          <w:lang w:val="en-US"/>
        </w:rPr>
        <w:t xml:space="preserve">Both Phase 1 and Phase 2 limits are implemented now. The phase </w:t>
      </w:r>
      <w:r w:rsidR="007208A0">
        <w:rPr>
          <w:lang w:val="en-US"/>
        </w:rPr>
        <w:t>2</w:t>
      </w:r>
      <w:r>
        <w:rPr>
          <w:lang w:val="en-US"/>
        </w:rPr>
        <w:t xml:space="preserve"> limits are stated as applicable for equipment brought into use </w:t>
      </w:r>
      <w:r w:rsidR="007208A0">
        <w:rPr>
          <w:lang w:val="en-US"/>
        </w:rPr>
        <w:t>after</w:t>
      </w:r>
      <w:r>
        <w:rPr>
          <w:lang w:val="en-US"/>
        </w:rPr>
        <w:t xml:space="preserve"> 1 September 2027.</w:t>
      </w:r>
    </w:p>
    <w:p w14:paraId="2AC355A2" w14:textId="11AC5AE4" w:rsidR="006312BD" w:rsidRDefault="006312BD" w:rsidP="006312BD">
      <w:pPr>
        <w:pStyle w:val="BodyText"/>
        <w:rPr>
          <w:lang w:val="en-US"/>
        </w:rPr>
      </w:pPr>
      <w:r>
        <w:rPr>
          <w:lang w:val="en-US"/>
        </w:rPr>
        <w:t>It is noted that Option b) is more precise and also fully aligned with WRC-19 Resolution 750 [1]. There is also 3GPP precedence for such a solution, where a phased approach was used for Band 23/25 co-existence in 3GPP Rel-10.</w:t>
      </w:r>
    </w:p>
    <w:p w14:paraId="1B3FE001" w14:textId="47995FD5" w:rsidR="006312BD" w:rsidRPr="00F76C27" w:rsidRDefault="006312BD" w:rsidP="006312BD">
      <w:pPr>
        <w:pStyle w:val="BodyText"/>
        <w:tabs>
          <w:tab w:val="left" w:pos="1843"/>
        </w:tabs>
        <w:ind w:left="1843" w:hanging="1417"/>
        <w:rPr>
          <w:lang w:val="en-US"/>
        </w:rPr>
      </w:pPr>
      <w:r>
        <w:rPr>
          <w:b/>
          <w:bCs/>
          <w:lang w:val="en-US"/>
        </w:rPr>
        <w:t>Proposal</w:t>
      </w:r>
      <w:r w:rsidRPr="00F76C27">
        <w:rPr>
          <w:b/>
          <w:bCs/>
          <w:lang w:val="en-US"/>
        </w:rPr>
        <w:t xml:space="preserve"> </w:t>
      </w:r>
      <w:r w:rsidR="00143206">
        <w:rPr>
          <w:b/>
          <w:bCs/>
          <w:lang w:val="en-US"/>
        </w:rPr>
        <w:t>2</w:t>
      </w:r>
      <w:r w:rsidRPr="00F76C27">
        <w:rPr>
          <w:b/>
          <w:bCs/>
          <w:lang w:val="en-US"/>
        </w:rPr>
        <w:t>:</w:t>
      </w:r>
      <w:r w:rsidRPr="00F76C27">
        <w:rPr>
          <w:lang w:val="en-US"/>
        </w:rPr>
        <w:tab/>
      </w:r>
      <w:r w:rsidR="00143206">
        <w:rPr>
          <w:lang w:val="en-US"/>
        </w:rPr>
        <w:t xml:space="preserve">Both Phase 1 and 2 limits from WRC-19 Resolution 750 [1] </w:t>
      </w:r>
      <w:r w:rsidR="00A54509">
        <w:rPr>
          <w:lang w:val="en-US"/>
        </w:rPr>
        <w:t>are</w:t>
      </w:r>
      <w:r w:rsidR="00143206">
        <w:rPr>
          <w:lang w:val="en-US"/>
        </w:rPr>
        <w:t xml:space="preserve"> implemented in NR BS specifications</w:t>
      </w:r>
      <w:r>
        <w:rPr>
          <w:lang w:val="en-US"/>
        </w:rPr>
        <w:t>.</w:t>
      </w:r>
      <w:r w:rsidR="00143206">
        <w:rPr>
          <w:lang w:val="en-US"/>
        </w:rPr>
        <w:t xml:space="preserve"> The Phase 1 limits </w:t>
      </w:r>
      <w:r w:rsidR="00A54509">
        <w:rPr>
          <w:lang w:val="en-US"/>
        </w:rPr>
        <w:t>w</w:t>
      </w:r>
      <w:r w:rsidR="00143206">
        <w:rPr>
          <w:lang w:val="en-US"/>
        </w:rPr>
        <w:t xml:space="preserve">ould apply for equipment brought into use </w:t>
      </w:r>
      <w:r w:rsidR="007208A0">
        <w:rPr>
          <w:lang w:val="en-US"/>
        </w:rPr>
        <w:t>until</w:t>
      </w:r>
      <w:r w:rsidR="00143206">
        <w:rPr>
          <w:lang w:val="en-US"/>
        </w:rPr>
        <w:t xml:space="preserve"> 1 September 2027, while Phase 2 limits would apply after that date.</w:t>
      </w:r>
    </w:p>
    <w:p w14:paraId="1677C7DF" w14:textId="77777777" w:rsidR="00551262" w:rsidRDefault="00896C6F" w:rsidP="00B445A4">
      <w:pPr>
        <w:pStyle w:val="Heading1"/>
        <w:rPr>
          <w:lang w:val="en-US"/>
        </w:rPr>
      </w:pPr>
      <w:r>
        <w:rPr>
          <w:lang w:val="en-US"/>
        </w:rPr>
        <w:t>Proposal</w:t>
      </w:r>
    </w:p>
    <w:p w14:paraId="7C6E814F" w14:textId="423ECD07" w:rsidR="00143206" w:rsidRDefault="00143206" w:rsidP="00896C6F">
      <w:pPr>
        <w:pStyle w:val="BodyText"/>
        <w:rPr>
          <w:lang w:val="en-US"/>
        </w:rPr>
      </w:pPr>
      <w:r>
        <w:rPr>
          <w:lang w:val="en-US"/>
        </w:rPr>
        <w:t>The following was noted concerning the limits of unwanted emissions agreed at WRC-19 in Resolution 750 [1]:</w:t>
      </w:r>
    </w:p>
    <w:p w14:paraId="4A5798BE" w14:textId="77777777" w:rsidR="00143206" w:rsidRPr="00F76C27" w:rsidRDefault="00143206" w:rsidP="00143206">
      <w:pPr>
        <w:pStyle w:val="BodyText"/>
        <w:tabs>
          <w:tab w:val="left" w:pos="1843"/>
        </w:tabs>
        <w:ind w:left="1843" w:hanging="1417"/>
        <w:rPr>
          <w:lang w:val="en-US"/>
        </w:rPr>
      </w:pPr>
      <w:r w:rsidRPr="00F76C27">
        <w:rPr>
          <w:b/>
          <w:bCs/>
          <w:lang w:val="en-US"/>
        </w:rPr>
        <w:t>Observation 1:</w:t>
      </w:r>
      <w:r w:rsidRPr="00F76C27">
        <w:rPr>
          <w:lang w:val="en-US"/>
        </w:rPr>
        <w:tab/>
      </w:r>
      <w:r>
        <w:rPr>
          <w:lang w:val="en-US"/>
        </w:rPr>
        <w:t xml:space="preserve">The limits of unwanted emissions agreed at WRC-19 are defined in two phases, with stricter limits applicable to </w:t>
      </w:r>
      <w:r w:rsidRPr="003A3475">
        <w:rPr>
          <w:lang w:val="en-US"/>
        </w:rPr>
        <w:t xml:space="preserve">IMT base stations brought into use </w:t>
      </w:r>
      <w:r>
        <w:rPr>
          <w:lang w:val="en-US"/>
        </w:rPr>
        <w:t>after 1 September 2027.</w:t>
      </w:r>
    </w:p>
    <w:p w14:paraId="52C3166E" w14:textId="77777777" w:rsidR="00A54509" w:rsidRPr="00F76C27" w:rsidRDefault="00A54509" w:rsidP="00A54509">
      <w:pPr>
        <w:pStyle w:val="BodyText"/>
        <w:tabs>
          <w:tab w:val="left" w:pos="1843"/>
        </w:tabs>
        <w:ind w:left="1843" w:hanging="1417"/>
        <w:rPr>
          <w:lang w:val="en-US"/>
        </w:rPr>
      </w:pPr>
      <w:r w:rsidRPr="00F76C27">
        <w:rPr>
          <w:b/>
          <w:bCs/>
          <w:lang w:val="en-US"/>
        </w:rPr>
        <w:t xml:space="preserve">Observation </w:t>
      </w:r>
      <w:r>
        <w:rPr>
          <w:b/>
          <w:bCs/>
          <w:lang w:val="en-US"/>
        </w:rPr>
        <w:t>2</w:t>
      </w:r>
      <w:r w:rsidRPr="00F76C27">
        <w:rPr>
          <w:b/>
          <w:bCs/>
          <w:lang w:val="en-US"/>
        </w:rPr>
        <w:t>:</w:t>
      </w:r>
      <w:r w:rsidRPr="00F76C27">
        <w:rPr>
          <w:lang w:val="en-US"/>
        </w:rPr>
        <w:tab/>
      </w:r>
      <w:r>
        <w:rPr>
          <w:lang w:val="en-US"/>
        </w:rPr>
        <w:t>The limits of unwanted emissions agreed at WRC-19 are defined as TRP using dBW. The corresponding limits using dBm for IMT base stations would be -3 dBm/200 MHz and -9 dBm/200 MHz (TRP) respectively for Phase 1 and 2.</w:t>
      </w:r>
    </w:p>
    <w:p w14:paraId="337F45DD" w14:textId="55A9B15C" w:rsidR="00143206" w:rsidRDefault="00143206" w:rsidP="00896C6F">
      <w:pPr>
        <w:pStyle w:val="BodyText"/>
        <w:rPr>
          <w:lang w:val="en-US"/>
        </w:rPr>
      </w:pPr>
      <w:r>
        <w:rPr>
          <w:lang w:val="en-US"/>
        </w:rPr>
        <w:t xml:space="preserve">Based on the </w:t>
      </w:r>
      <w:r w:rsidR="007208A0">
        <w:rPr>
          <w:lang w:val="en-US"/>
        </w:rPr>
        <w:t>discussion above</w:t>
      </w:r>
      <w:bookmarkStart w:id="3" w:name="_GoBack"/>
      <w:bookmarkEnd w:id="3"/>
      <w:r>
        <w:rPr>
          <w:lang w:val="en-US"/>
        </w:rPr>
        <w:t>, the following is proposed:</w:t>
      </w:r>
    </w:p>
    <w:p w14:paraId="307EC672" w14:textId="77777777" w:rsidR="00A54509" w:rsidRPr="00F76C27" w:rsidRDefault="00A54509" w:rsidP="00A54509">
      <w:pPr>
        <w:pStyle w:val="BodyText"/>
        <w:tabs>
          <w:tab w:val="left" w:pos="1843"/>
        </w:tabs>
        <w:ind w:left="1843" w:hanging="1417"/>
        <w:rPr>
          <w:lang w:val="en-US"/>
        </w:rPr>
      </w:pPr>
      <w:r>
        <w:rPr>
          <w:b/>
          <w:bCs/>
          <w:lang w:val="en-US"/>
        </w:rPr>
        <w:t>Proposal</w:t>
      </w:r>
      <w:r w:rsidRPr="00F76C27">
        <w:rPr>
          <w:b/>
          <w:bCs/>
          <w:lang w:val="en-US"/>
        </w:rPr>
        <w:t xml:space="preserve"> </w:t>
      </w:r>
      <w:r>
        <w:rPr>
          <w:b/>
          <w:bCs/>
          <w:lang w:val="en-US"/>
        </w:rPr>
        <w:t>1</w:t>
      </w:r>
      <w:r w:rsidRPr="00F76C27">
        <w:rPr>
          <w:b/>
          <w:bCs/>
          <w:lang w:val="en-US"/>
        </w:rPr>
        <w:t>:</w:t>
      </w:r>
      <w:r w:rsidRPr="00F76C27">
        <w:rPr>
          <w:lang w:val="en-US"/>
        </w:rPr>
        <w:tab/>
      </w:r>
      <w:r>
        <w:rPr>
          <w:lang w:val="en-US"/>
        </w:rPr>
        <w:t>The limits of unwanted emissions in the range 23.6 GHz to 24 GHz should only apply for a BS where any part of the downlink transmission falls within the “Active service band” (24.25 GHz to 27.5 GHz) defined in Resolution 750 [1].</w:t>
      </w:r>
    </w:p>
    <w:p w14:paraId="6E3241E9" w14:textId="77777777" w:rsidR="007208A0" w:rsidRPr="00F76C27" w:rsidRDefault="007208A0" w:rsidP="007208A0">
      <w:pPr>
        <w:pStyle w:val="BodyText"/>
        <w:tabs>
          <w:tab w:val="left" w:pos="1843"/>
        </w:tabs>
        <w:ind w:left="1843" w:hanging="1417"/>
        <w:rPr>
          <w:lang w:val="en-US"/>
        </w:rPr>
      </w:pPr>
      <w:r>
        <w:rPr>
          <w:b/>
          <w:bCs/>
          <w:lang w:val="en-US"/>
        </w:rPr>
        <w:t>Proposal</w:t>
      </w:r>
      <w:r w:rsidRPr="00F76C27">
        <w:rPr>
          <w:b/>
          <w:bCs/>
          <w:lang w:val="en-US"/>
        </w:rPr>
        <w:t xml:space="preserve"> </w:t>
      </w:r>
      <w:r>
        <w:rPr>
          <w:b/>
          <w:bCs/>
          <w:lang w:val="en-US"/>
        </w:rPr>
        <w:t>2</w:t>
      </w:r>
      <w:r w:rsidRPr="00F76C27">
        <w:rPr>
          <w:b/>
          <w:bCs/>
          <w:lang w:val="en-US"/>
        </w:rPr>
        <w:t>:</w:t>
      </w:r>
      <w:r w:rsidRPr="00F76C27">
        <w:rPr>
          <w:lang w:val="en-US"/>
        </w:rPr>
        <w:tab/>
      </w:r>
      <w:r>
        <w:rPr>
          <w:lang w:val="en-US"/>
        </w:rPr>
        <w:t>Both Phase 1 and 2 limits from WRC-19 Resolution 750 [1] are implemented in NR BS specifications. The Phase 1 limits would apply for equipment brought into use until 1 September 2027, while Phase 2 limits would apply after that date.</w:t>
      </w:r>
    </w:p>
    <w:p w14:paraId="0C3B6E83" w14:textId="523417BB" w:rsidR="00B445A4" w:rsidRPr="00B445A4" w:rsidRDefault="00B445A4" w:rsidP="00896C6F">
      <w:pPr>
        <w:pStyle w:val="BodyText"/>
        <w:rPr>
          <w:lang w:val="en-US"/>
        </w:rPr>
      </w:pPr>
      <w:r>
        <w:rPr>
          <w:lang w:val="en-US"/>
        </w:rPr>
        <w:t>.</w:t>
      </w:r>
    </w:p>
    <w:p w14:paraId="5F0B496A" w14:textId="77777777" w:rsidR="00D466E4" w:rsidRPr="009177A5" w:rsidRDefault="00D466E4" w:rsidP="00D466E4">
      <w:pPr>
        <w:pStyle w:val="Heading1"/>
        <w:rPr>
          <w:lang w:val="en-US"/>
        </w:rPr>
      </w:pPr>
      <w:r w:rsidRPr="009177A5">
        <w:rPr>
          <w:lang w:val="en-US"/>
        </w:rPr>
        <w:lastRenderedPageBreak/>
        <w:t>References</w:t>
      </w:r>
    </w:p>
    <w:p w14:paraId="4F0C5FB1" w14:textId="193F1036" w:rsidR="00637023" w:rsidRDefault="00A828EE" w:rsidP="00637023">
      <w:pPr>
        <w:pStyle w:val="EX"/>
        <w:numPr>
          <w:ilvl w:val="0"/>
          <w:numId w:val="15"/>
        </w:numPr>
        <w:overflowPunct w:val="0"/>
        <w:autoSpaceDE w:val="0"/>
        <w:autoSpaceDN w:val="0"/>
        <w:adjustRightInd w:val="0"/>
        <w:ind w:left="426" w:hanging="426"/>
        <w:textAlignment w:val="baseline"/>
        <w:rPr>
          <w:lang w:val="en-US"/>
        </w:rPr>
      </w:pPr>
      <w:r>
        <w:rPr>
          <w:lang w:val="en-US"/>
        </w:rPr>
        <w:t>W</w:t>
      </w:r>
      <w:r w:rsidRPr="00A828EE">
        <w:rPr>
          <w:lang w:val="en-US"/>
        </w:rPr>
        <w:t xml:space="preserve">orld Radiocommunication Conference 2019 (WRC-19), </w:t>
      </w:r>
      <w:hyperlink r:id="rId8" w:history="1">
        <w:r w:rsidR="00367962">
          <w:rPr>
            <w:lang w:val="en-US"/>
          </w:rPr>
          <w:t xml:space="preserve"> </w:t>
        </w:r>
        <w:r w:rsidR="00367962" w:rsidRPr="00367962">
          <w:rPr>
            <w:rStyle w:val="Hyperlink"/>
            <w:lang w:val="en-US"/>
          </w:rPr>
          <w:t>Provisional Final Acts</w:t>
        </w:r>
      </w:hyperlink>
      <w:r w:rsidR="00367962">
        <w:rPr>
          <w:lang w:val="en-US"/>
        </w:rPr>
        <w:t>.</w:t>
      </w:r>
    </w:p>
    <w:p w14:paraId="235DA5F6" w14:textId="488C9E4A" w:rsidR="00D5222E" w:rsidRDefault="00D5222E" w:rsidP="00637023">
      <w:pPr>
        <w:pStyle w:val="EX"/>
        <w:numPr>
          <w:ilvl w:val="0"/>
          <w:numId w:val="15"/>
        </w:numPr>
        <w:overflowPunct w:val="0"/>
        <w:autoSpaceDE w:val="0"/>
        <w:autoSpaceDN w:val="0"/>
        <w:adjustRightInd w:val="0"/>
        <w:ind w:left="426" w:hanging="426"/>
        <w:textAlignment w:val="baseline"/>
        <w:rPr>
          <w:lang w:val="en-US"/>
        </w:rPr>
      </w:pPr>
      <w:r w:rsidRPr="00D5222E">
        <w:rPr>
          <w:lang w:val="en-US"/>
        </w:rPr>
        <w:t>R4-2000230, "EESS protection from n257" (NTT DOCOMO, INC.).</w:t>
      </w:r>
    </w:p>
    <w:p w14:paraId="3502D4D3" w14:textId="7BCDAACD" w:rsidR="00D5222E" w:rsidRDefault="00D5222E" w:rsidP="00637023">
      <w:pPr>
        <w:pStyle w:val="EX"/>
        <w:numPr>
          <w:ilvl w:val="0"/>
          <w:numId w:val="15"/>
        </w:numPr>
        <w:overflowPunct w:val="0"/>
        <w:autoSpaceDE w:val="0"/>
        <w:autoSpaceDN w:val="0"/>
        <w:adjustRightInd w:val="0"/>
        <w:ind w:left="426" w:hanging="426"/>
        <w:textAlignment w:val="baseline"/>
        <w:rPr>
          <w:lang w:val="en-US"/>
        </w:rPr>
      </w:pPr>
      <w:r w:rsidRPr="00D5222E">
        <w:rPr>
          <w:lang w:val="en-US"/>
        </w:rPr>
        <w:t>R4-2000409, "On 3GPP band n258 and WRC-19 EESS unwanted emission limits" (T-Mobile USA, AT&amp;T, U.S. Cellular).</w:t>
      </w:r>
    </w:p>
    <w:p w14:paraId="28BFF0A1" w14:textId="77777777" w:rsidR="00896C6F" w:rsidRPr="0074776E" w:rsidRDefault="00896C6F" w:rsidP="00FD2D4A">
      <w:pPr>
        <w:pStyle w:val="EX"/>
        <w:ind w:left="360" w:hanging="360"/>
        <w:rPr>
          <w:lang w:val="en-US"/>
        </w:rPr>
      </w:pPr>
    </w:p>
    <w:p w14:paraId="667F1678"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B8199" w14:textId="77777777" w:rsidR="001168CC" w:rsidRDefault="001168CC">
      <w:r>
        <w:separator/>
      </w:r>
    </w:p>
  </w:endnote>
  <w:endnote w:type="continuationSeparator" w:id="0">
    <w:p w14:paraId="490BCCB8" w14:textId="77777777" w:rsidR="001168CC" w:rsidRDefault="0011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52FCD" w14:textId="77777777" w:rsidR="001168CC" w:rsidRDefault="001168CC">
      <w:r>
        <w:separator/>
      </w:r>
    </w:p>
  </w:footnote>
  <w:footnote w:type="continuationSeparator" w:id="0">
    <w:p w14:paraId="702EB87D" w14:textId="77777777" w:rsidR="001168CC" w:rsidRDefault="0011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E57AE8"/>
    <w:multiLevelType w:val="hybridMultilevel"/>
    <w:tmpl w:val="BE9037F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8B80DC8"/>
    <w:multiLevelType w:val="hybridMultilevel"/>
    <w:tmpl w:val="BE9037F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9"/>
  </w:num>
  <w:num w:numId="3">
    <w:abstractNumId w:val="7"/>
  </w:num>
  <w:num w:numId="4">
    <w:abstractNumId w:val="13"/>
  </w:num>
  <w:num w:numId="5">
    <w:abstractNumId w:val="11"/>
  </w:num>
  <w:num w:numId="6">
    <w:abstractNumId w:val="15"/>
  </w:num>
  <w:num w:numId="7">
    <w:abstractNumId w:val="1"/>
  </w:num>
  <w:num w:numId="8">
    <w:abstractNumId w:val="0"/>
  </w:num>
  <w:num w:numId="9">
    <w:abstractNumId w:val="10"/>
  </w:num>
  <w:num w:numId="10">
    <w:abstractNumId w:val="4"/>
  </w:num>
  <w:num w:numId="11">
    <w:abstractNumId w:val="6"/>
  </w:num>
  <w:num w:numId="12">
    <w:abstractNumId w:val="3"/>
  </w:num>
  <w:num w:numId="13">
    <w:abstractNumId w:val="8"/>
  </w:num>
  <w:num w:numId="14">
    <w:abstractNumId w:val="2"/>
  </w:num>
  <w:num w:numId="15">
    <w:abstractNumId w:val="5"/>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7F0"/>
    <w:rsid w:val="00037BA8"/>
    <w:rsid w:val="00047F45"/>
    <w:rsid w:val="0006072E"/>
    <w:rsid w:val="00063B5C"/>
    <w:rsid w:val="00067B1B"/>
    <w:rsid w:val="000A5706"/>
    <w:rsid w:val="000B008F"/>
    <w:rsid w:val="000C5F61"/>
    <w:rsid w:val="000E5D87"/>
    <w:rsid w:val="000F1261"/>
    <w:rsid w:val="000F41F1"/>
    <w:rsid w:val="000F7F74"/>
    <w:rsid w:val="0010279D"/>
    <w:rsid w:val="00113182"/>
    <w:rsid w:val="001168CC"/>
    <w:rsid w:val="00124AB3"/>
    <w:rsid w:val="001260A0"/>
    <w:rsid w:val="00133B5A"/>
    <w:rsid w:val="00134CFA"/>
    <w:rsid w:val="001357BA"/>
    <w:rsid w:val="00143206"/>
    <w:rsid w:val="00163220"/>
    <w:rsid w:val="001638B9"/>
    <w:rsid w:val="00166C84"/>
    <w:rsid w:val="00166D2E"/>
    <w:rsid w:val="00174101"/>
    <w:rsid w:val="00182789"/>
    <w:rsid w:val="00186510"/>
    <w:rsid w:val="00187095"/>
    <w:rsid w:val="001909A3"/>
    <w:rsid w:val="00191A32"/>
    <w:rsid w:val="001B2B7D"/>
    <w:rsid w:val="001C758F"/>
    <w:rsid w:val="001D46A7"/>
    <w:rsid w:val="001E7A9E"/>
    <w:rsid w:val="00205FAC"/>
    <w:rsid w:val="0021189D"/>
    <w:rsid w:val="00237340"/>
    <w:rsid w:val="002374EE"/>
    <w:rsid w:val="00246998"/>
    <w:rsid w:val="00265D42"/>
    <w:rsid w:val="00272990"/>
    <w:rsid w:val="00281DE1"/>
    <w:rsid w:val="00290443"/>
    <w:rsid w:val="00294CF5"/>
    <w:rsid w:val="002A118B"/>
    <w:rsid w:val="002A4267"/>
    <w:rsid w:val="002B6B5E"/>
    <w:rsid w:val="002C233C"/>
    <w:rsid w:val="002C781B"/>
    <w:rsid w:val="002D2D54"/>
    <w:rsid w:val="002E3E1A"/>
    <w:rsid w:val="002F612D"/>
    <w:rsid w:val="00304E78"/>
    <w:rsid w:val="00306ED0"/>
    <w:rsid w:val="00314711"/>
    <w:rsid w:val="00314EDE"/>
    <w:rsid w:val="00320346"/>
    <w:rsid w:val="00326A41"/>
    <w:rsid w:val="003271A7"/>
    <w:rsid w:val="00345BFE"/>
    <w:rsid w:val="00347B9D"/>
    <w:rsid w:val="00366695"/>
    <w:rsid w:val="003673C9"/>
    <w:rsid w:val="00367962"/>
    <w:rsid w:val="003710C4"/>
    <w:rsid w:val="003739C5"/>
    <w:rsid w:val="0037577B"/>
    <w:rsid w:val="00376953"/>
    <w:rsid w:val="00377E84"/>
    <w:rsid w:val="00390BBB"/>
    <w:rsid w:val="00397389"/>
    <w:rsid w:val="003A3475"/>
    <w:rsid w:val="003B48F2"/>
    <w:rsid w:val="003C0934"/>
    <w:rsid w:val="003C6850"/>
    <w:rsid w:val="003D3111"/>
    <w:rsid w:val="004017E5"/>
    <w:rsid w:val="00403B74"/>
    <w:rsid w:val="00405C7C"/>
    <w:rsid w:val="00425637"/>
    <w:rsid w:val="00431D7D"/>
    <w:rsid w:val="0043565D"/>
    <w:rsid w:val="00442274"/>
    <w:rsid w:val="0044598B"/>
    <w:rsid w:val="0044655B"/>
    <w:rsid w:val="0045630F"/>
    <w:rsid w:val="004672AB"/>
    <w:rsid w:val="00480B55"/>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2219E"/>
    <w:rsid w:val="00524C96"/>
    <w:rsid w:val="005316F6"/>
    <w:rsid w:val="00545B40"/>
    <w:rsid w:val="005474F0"/>
    <w:rsid w:val="00551262"/>
    <w:rsid w:val="00552900"/>
    <w:rsid w:val="00571FDC"/>
    <w:rsid w:val="00580C39"/>
    <w:rsid w:val="00583594"/>
    <w:rsid w:val="00586410"/>
    <w:rsid w:val="00592364"/>
    <w:rsid w:val="005A5406"/>
    <w:rsid w:val="005A6088"/>
    <w:rsid w:val="005A7A0B"/>
    <w:rsid w:val="005C01CC"/>
    <w:rsid w:val="005D1D6A"/>
    <w:rsid w:val="005D2A94"/>
    <w:rsid w:val="005D3014"/>
    <w:rsid w:val="005D4474"/>
    <w:rsid w:val="005E24CC"/>
    <w:rsid w:val="005E70DF"/>
    <w:rsid w:val="005E792F"/>
    <w:rsid w:val="005F0B32"/>
    <w:rsid w:val="006011A8"/>
    <w:rsid w:val="006112E8"/>
    <w:rsid w:val="006137E3"/>
    <w:rsid w:val="00617A60"/>
    <w:rsid w:val="0062237B"/>
    <w:rsid w:val="00626F96"/>
    <w:rsid w:val="00627220"/>
    <w:rsid w:val="00630A71"/>
    <w:rsid w:val="006312BD"/>
    <w:rsid w:val="0063150A"/>
    <w:rsid w:val="00637023"/>
    <w:rsid w:val="00640BE4"/>
    <w:rsid w:val="006424D8"/>
    <w:rsid w:val="006539BE"/>
    <w:rsid w:val="006577E0"/>
    <w:rsid w:val="006648A7"/>
    <w:rsid w:val="00666410"/>
    <w:rsid w:val="0067141B"/>
    <w:rsid w:val="00674F79"/>
    <w:rsid w:val="00680483"/>
    <w:rsid w:val="00685BF9"/>
    <w:rsid w:val="00687455"/>
    <w:rsid w:val="006926E0"/>
    <w:rsid w:val="006A7D78"/>
    <w:rsid w:val="006B0700"/>
    <w:rsid w:val="006C543A"/>
    <w:rsid w:val="006D1494"/>
    <w:rsid w:val="006D6C66"/>
    <w:rsid w:val="006F3C5F"/>
    <w:rsid w:val="00701224"/>
    <w:rsid w:val="0070201D"/>
    <w:rsid w:val="007061AB"/>
    <w:rsid w:val="00714C76"/>
    <w:rsid w:val="007208A0"/>
    <w:rsid w:val="00721E37"/>
    <w:rsid w:val="00737B89"/>
    <w:rsid w:val="007467A5"/>
    <w:rsid w:val="0074776E"/>
    <w:rsid w:val="007554CE"/>
    <w:rsid w:val="0076687C"/>
    <w:rsid w:val="007676C2"/>
    <w:rsid w:val="007743A7"/>
    <w:rsid w:val="007A3D20"/>
    <w:rsid w:val="007D704C"/>
    <w:rsid w:val="007E1B06"/>
    <w:rsid w:val="008125D8"/>
    <w:rsid w:val="00813593"/>
    <w:rsid w:val="008143CD"/>
    <w:rsid w:val="00831ABB"/>
    <w:rsid w:val="00833972"/>
    <w:rsid w:val="00836B80"/>
    <w:rsid w:val="0086504D"/>
    <w:rsid w:val="00873A66"/>
    <w:rsid w:val="008743E1"/>
    <w:rsid w:val="00876057"/>
    <w:rsid w:val="00880030"/>
    <w:rsid w:val="008926FA"/>
    <w:rsid w:val="00893082"/>
    <w:rsid w:val="00896C6F"/>
    <w:rsid w:val="008C48BA"/>
    <w:rsid w:val="008C7085"/>
    <w:rsid w:val="008C78B4"/>
    <w:rsid w:val="008D63F9"/>
    <w:rsid w:val="008D7F5B"/>
    <w:rsid w:val="008F5E1F"/>
    <w:rsid w:val="00900C64"/>
    <w:rsid w:val="009062D0"/>
    <w:rsid w:val="00913C0F"/>
    <w:rsid w:val="009177A5"/>
    <w:rsid w:val="00923CDF"/>
    <w:rsid w:val="00926E5B"/>
    <w:rsid w:val="00937888"/>
    <w:rsid w:val="00937D9C"/>
    <w:rsid w:val="009467F0"/>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7379"/>
    <w:rsid w:val="00A02A2D"/>
    <w:rsid w:val="00A206D0"/>
    <w:rsid w:val="00A33848"/>
    <w:rsid w:val="00A54509"/>
    <w:rsid w:val="00A603D8"/>
    <w:rsid w:val="00A6681C"/>
    <w:rsid w:val="00A70759"/>
    <w:rsid w:val="00A74397"/>
    <w:rsid w:val="00A828EE"/>
    <w:rsid w:val="00A96089"/>
    <w:rsid w:val="00AA7E70"/>
    <w:rsid w:val="00AB1CBA"/>
    <w:rsid w:val="00AB2BE1"/>
    <w:rsid w:val="00AB4C64"/>
    <w:rsid w:val="00AB4CE0"/>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F1F70"/>
    <w:rsid w:val="00BF4694"/>
    <w:rsid w:val="00C1639A"/>
    <w:rsid w:val="00C1649F"/>
    <w:rsid w:val="00C2721F"/>
    <w:rsid w:val="00C37A1B"/>
    <w:rsid w:val="00C431BE"/>
    <w:rsid w:val="00C46751"/>
    <w:rsid w:val="00C46E81"/>
    <w:rsid w:val="00C5182B"/>
    <w:rsid w:val="00C546A8"/>
    <w:rsid w:val="00C5660D"/>
    <w:rsid w:val="00C617CE"/>
    <w:rsid w:val="00C81023"/>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5BB8"/>
    <w:rsid w:val="00D44825"/>
    <w:rsid w:val="00D466E4"/>
    <w:rsid w:val="00D5222E"/>
    <w:rsid w:val="00D534DA"/>
    <w:rsid w:val="00D6268F"/>
    <w:rsid w:val="00D6408E"/>
    <w:rsid w:val="00D646C0"/>
    <w:rsid w:val="00D8048C"/>
    <w:rsid w:val="00D87CC2"/>
    <w:rsid w:val="00D92470"/>
    <w:rsid w:val="00DB56A2"/>
    <w:rsid w:val="00DC0E1D"/>
    <w:rsid w:val="00DC23D4"/>
    <w:rsid w:val="00DC2851"/>
    <w:rsid w:val="00DF1B9B"/>
    <w:rsid w:val="00DF1F60"/>
    <w:rsid w:val="00E12CF3"/>
    <w:rsid w:val="00E25574"/>
    <w:rsid w:val="00E317C8"/>
    <w:rsid w:val="00E34C99"/>
    <w:rsid w:val="00E465C0"/>
    <w:rsid w:val="00E5091B"/>
    <w:rsid w:val="00E52110"/>
    <w:rsid w:val="00E5213B"/>
    <w:rsid w:val="00E523AA"/>
    <w:rsid w:val="00E64966"/>
    <w:rsid w:val="00E65329"/>
    <w:rsid w:val="00E71A1A"/>
    <w:rsid w:val="00E85053"/>
    <w:rsid w:val="00E91AA4"/>
    <w:rsid w:val="00E9449A"/>
    <w:rsid w:val="00E96D3A"/>
    <w:rsid w:val="00E97C65"/>
    <w:rsid w:val="00EB2AC9"/>
    <w:rsid w:val="00EB4101"/>
    <w:rsid w:val="00EB7A47"/>
    <w:rsid w:val="00EC4D40"/>
    <w:rsid w:val="00ED38E0"/>
    <w:rsid w:val="00ED57E7"/>
    <w:rsid w:val="00ED5EC6"/>
    <w:rsid w:val="00EE32C0"/>
    <w:rsid w:val="00EF0BC3"/>
    <w:rsid w:val="00EF2017"/>
    <w:rsid w:val="00F00133"/>
    <w:rsid w:val="00F030E8"/>
    <w:rsid w:val="00F0336F"/>
    <w:rsid w:val="00F06C5C"/>
    <w:rsid w:val="00F10B2B"/>
    <w:rsid w:val="00F11F98"/>
    <w:rsid w:val="00F31158"/>
    <w:rsid w:val="00F32056"/>
    <w:rsid w:val="00F3592A"/>
    <w:rsid w:val="00F5035D"/>
    <w:rsid w:val="00F51A48"/>
    <w:rsid w:val="00F56778"/>
    <w:rsid w:val="00F6148F"/>
    <w:rsid w:val="00F6291E"/>
    <w:rsid w:val="00F645EE"/>
    <w:rsid w:val="00F660AB"/>
    <w:rsid w:val="00F76C27"/>
    <w:rsid w:val="00F8357F"/>
    <w:rsid w:val="00F910FB"/>
    <w:rsid w:val="00F92094"/>
    <w:rsid w:val="00FA0E83"/>
    <w:rsid w:val="00FB43BF"/>
    <w:rsid w:val="00FC65AC"/>
    <w:rsid w:val="00FD2D4A"/>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character" w:styleId="UnresolvedMention">
    <w:name w:val="Unresolved Mention"/>
    <w:basedOn w:val="DefaultParagraphFont"/>
    <w:uiPriority w:val="99"/>
    <w:semiHidden/>
    <w:unhideWhenUsed/>
    <w:rsid w:val="00367962"/>
    <w:rPr>
      <w:color w:val="605E5C"/>
      <w:shd w:val="clear" w:color="auto" w:fill="E1DFDD"/>
    </w:rPr>
  </w:style>
  <w:style w:type="character" w:styleId="FollowedHyperlink">
    <w:name w:val="FollowedHyperlink"/>
    <w:basedOn w:val="DefaultParagraphFont"/>
    <w:rsid w:val="00A828EE"/>
    <w:rPr>
      <w:color w:val="954F72" w:themeColor="followedHyperlink"/>
      <w:u w:val="single"/>
    </w:rPr>
  </w:style>
  <w:style w:type="paragraph" w:customStyle="1" w:styleId="TAH">
    <w:name w:val="TAH"/>
    <w:basedOn w:val="TAC"/>
    <w:link w:val="TAHCar"/>
    <w:qFormat/>
    <w:rsid w:val="000B008F"/>
    <w:rPr>
      <w:b/>
    </w:rPr>
  </w:style>
  <w:style w:type="paragraph" w:customStyle="1" w:styleId="TAC">
    <w:name w:val="TAC"/>
    <w:basedOn w:val="Normal"/>
    <w:link w:val="TACChar"/>
    <w:qFormat/>
    <w:rsid w:val="000B008F"/>
    <w:pPr>
      <w:keepNext/>
      <w:keepLines/>
      <w:jc w:val="center"/>
    </w:pPr>
    <w:rPr>
      <w:rFonts w:ascii="Arial" w:eastAsia="Malgun Gothic" w:hAnsi="Arial"/>
      <w:sz w:val="18"/>
    </w:rPr>
  </w:style>
  <w:style w:type="character" w:customStyle="1" w:styleId="TACChar">
    <w:name w:val="TAC Char"/>
    <w:link w:val="TAC"/>
    <w:qFormat/>
    <w:rsid w:val="000B008F"/>
    <w:rPr>
      <w:rFonts w:ascii="Arial" w:eastAsia="Malgun Gothic" w:hAnsi="Arial"/>
      <w:sz w:val="18"/>
      <w:lang w:val="en-GB" w:eastAsia="en-US"/>
    </w:rPr>
  </w:style>
  <w:style w:type="character" w:customStyle="1" w:styleId="TAHCar">
    <w:name w:val="TAH Car"/>
    <w:link w:val="TAH"/>
    <w:qFormat/>
    <w:rsid w:val="000B008F"/>
    <w:rPr>
      <w:rFonts w:ascii="Arial" w:eastAsia="Malgun Gothic" w:hAnsi="Arial"/>
      <w:b/>
      <w:sz w:val="18"/>
      <w:lang w:val="en-GB" w:eastAsia="en-US"/>
    </w:rPr>
  </w:style>
  <w:style w:type="paragraph" w:customStyle="1" w:styleId="TH">
    <w:name w:val="TH"/>
    <w:basedOn w:val="Normal"/>
    <w:link w:val="THChar"/>
    <w:qFormat/>
    <w:rsid w:val="000B008F"/>
    <w:pPr>
      <w:keepNext/>
      <w:keepLines/>
      <w:spacing w:before="60" w:after="180"/>
      <w:jc w:val="center"/>
    </w:pPr>
    <w:rPr>
      <w:rFonts w:ascii="Arial" w:eastAsia="Malgun Gothic" w:hAnsi="Arial"/>
      <w:b/>
    </w:rPr>
  </w:style>
  <w:style w:type="character" w:customStyle="1" w:styleId="THChar">
    <w:name w:val="TH Char"/>
    <w:link w:val="TH"/>
    <w:qFormat/>
    <w:rsid w:val="000B008F"/>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R/conferences/wrc/2019/Documents/PFA-WRC19-E.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B288B-5006-4CF1-BFDE-6316114B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3</Pages>
  <Words>1176</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15</cp:revision>
  <cp:lastPrinted>2001-04-23T09:30:00Z</cp:lastPrinted>
  <dcterms:created xsi:type="dcterms:W3CDTF">2019-02-11T12:00:00Z</dcterms:created>
  <dcterms:modified xsi:type="dcterms:W3CDTF">2020-02-14T20:37:00Z</dcterms:modified>
</cp:coreProperties>
</file>